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40"/>
      </w:pPr>
      <w:r>
        <w:rPr>
          <w:rFonts w:ascii="Arial" w:cs="Arial" w:eastAsia="Arial" w:hAnsi="Arial"/>
        </w:rPr>
        <w:t xml:space="preserve"/>
      </w:r>
    </w:p>
    <w:p>
      <w:pPr>
        <w:spacing w:after="60"/>
        <w:jc w:val="center"/>
      </w:pPr>
      <w:r>
        <w:rPr>
          <w:rFonts w:ascii="Arial" w:cs="Arial" w:eastAsia="Arial" w:hAnsi="Arial"/>
          <w:b/>
          <w:bCs/>
          <w:color w:val="1B3A6B"/>
          <w:sz w:val="52"/>
          <w:szCs w:val="52"/>
        </w:rPr>
        <w:t xml:space="preserve">ANÁLISIS COMPARATIVO</w:t>
      </w:r>
    </w:p>
    <w:p>
      <w:pPr>
        <w:spacing w:after="60"/>
        <w:jc w:val="center"/>
      </w:pPr>
      <w:r>
        <w:rPr>
          <w:rFonts w:ascii="Arial" w:cs="Arial" w:eastAsia="Arial" w:hAnsi="Arial"/>
          <w:b/>
          <w:bCs/>
          <w:color w:val="2E5FA3"/>
          <w:sz w:val="42"/>
          <w:szCs w:val="42"/>
        </w:rPr>
        <w:t xml:space="preserve">FONDOS DE INVERSIÓN MIXTOS</w:t>
      </w:r>
    </w:p>
    <w:p>
      <w:pPr>
        <w:spacing w:after="200"/>
        <w:jc w:val="center"/>
      </w:pPr>
      <w:r>
        <w:rPr>
          <w:rFonts w:ascii="Arial" w:cs="Arial" w:eastAsia="Arial" w:hAnsi="Arial"/>
          <w:color w:val="6B7280"/>
          <w:sz w:val="28"/>
          <w:szCs w:val="28"/>
        </w:rPr>
        <w:t xml:space="preserve">Selección Premium — 7 Fondos Seleccionados</w:t>
      </w:r>
    </w:p>
    <w:p>
      <w:pPr>
        <w:spacing w:before="0" w:after="120"/>
      </w:pPr>
      <w:r>
        <w:rPr>
          <w:rFonts w:ascii="Arial" w:cs="Arial" w:eastAsia="Arial" w:hAnsi="Arial"/>
        </w:rPr>
        <w:t xml:space="preserve"/>
      </w:r>
    </w:p>
    <w:p>
      <w:pPr>
        <w:pBdr>
          <w:bottom w:val="single" w:color="1B3A6B" w:sz="10" w:space="1"/>
        </w:pBdr>
        <w:spacing w:after="200"/>
        <w:jc w:val="center"/>
      </w:pPr>
    </w:p>
    <w:p>
      <w:pPr>
        <w:spacing w:before="0" w:after="120"/>
      </w:pPr>
      <w:r>
        <w:rPr>
          <w:rFonts w:ascii="Arial" w:cs="Arial" w:eastAsia="Arial" w:hAnsi="Arial"/>
        </w:rPr>
        <w:t xml:space="preserve"/>
      </w:r>
    </w:p>
    <w:p>
      <w:pPr>
        <w:spacing w:after="60"/>
        <w:jc w:val="center"/>
      </w:pPr>
      <w:r>
        <w:rPr>
          <w:rFonts w:ascii="Arial" w:cs="Arial" w:eastAsia="Arial" w:hAnsi="Arial"/>
          <w:b/>
          <w:bCs/>
          <w:color w:val="4A4A4A"/>
          <w:sz w:val="28"/>
          <w:szCs w:val="28"/>
        </w:rPr>
        <w:t xml:space="preserve">Análisis Financiero Independiente</w:t>
      </w:r>
    </w:p>
    <w:p>
      <w:pPr>
        <w:spacing w:after="200"/>
        <w:jc w:val="center"/>
      </w:pPr>
      <w:r>
        <w:rPr>
          <w:rFonts w:ascii="Arial" w:cs="Arial" w:eastAsia="Arial" w:hAnsi="Arial"/>
          <w:b/>
          <w:bCs/>
          <w:color w:val="4A4A4A"/>
          <w:sz w:val="26"/>
          <w:szCs w:val="26"/>
        </w:rPr>
        <w:t xml:space="preserve">Marzo 2026</w:t>
      </w:r>
    </w:p>
    <w:p>
      <w:pPr>
        <w:spacing w:before="0" w:after="120"/>
      </w:pPr>
      <w:r>
        <w:rPr>
          <w:rFonts w:ascii="Arial" w:cs="Arial" w:eastAsia="Arial" w:hAnsi="Arial"/>
        </w:rPr>
        <w:t xml:space="preserve"/>
      </w:r>
    </w:p>
    <w:p>
      <w:pPr>
        <w:spacing w:after="40"/>
        <w:jc w:val="center"/>
      </w:pPr>
      <w:r>
        <w:rPr>
          <w:rFonts w:ascii="Arial" w:cs="Arial" w:eastAsia="Arial" w:hAnsi="Arial"/>
          <w:i/>
          <w:iCs/>
          <w:color w:val="6B7280"/>
          <w:sz w:val="18"/>
          <w:szCs w:val="18"/>
        </w:rPr>
        <w:t xml:space="preserve">Fuentes: Morningstar · CNMV · Ábaco Capital · Cobas AM · Andbank / MyInvestor / baelopatrimonio.com</w:t>
      </w:r>
    </w:p>
    <w:p>
      <w:pPr>
        <w:jc w:val="center"/>
      </w:pPr>
      <w:r>
        <w:rPr>
          <w:rFonts w:ascii="Arial" w:cs="Arial" w:eastAsia="Arial" w:hAnsi="Arial"/>
          <w:i/>
          <w:iCs/>
          <w:color w:val="6B7280"/>
          <w:sz w:val="18"/>
          <w:szCs w:val="18"/>
        </w:rPr>
        <w:t xml:space="preserve">Banque de Luxembourg Investments (BLI) · Renta 4 Gestora · impassivewealth.com · Finect · Rankia · Citywire</w:t>
      </w:r>
    </w:p>
    <w:p>
      <w:r>
        <w:br w:type="page"/>
      </w:r>
    </w:p>
    <w:p>
      <w:pPr>
        <w:pStyle w:val="Heading1"/>
      </w:pPr>
      <w:r>
        <w:rPr>
          <w:rFonts w:ascii="Arial" w:cs="Arial" w:eastAsia="Arial" w:hAnsi="Arial"/>
          <w:b/>
          <w:bCs/>
        </w:rPr>
        <w:t xml:space="preserve">1. Introducción y Contexto del Análisis</w:t>
      </w:r>
    </w:p>
    <w:p>
      <w:pPr>
        <w:spacing w:before="70" w:after="70"/>
        <w:jc w:val="both"/>
      </w:pPr>
      <w:r>
        <w:rPr>
          <w:rFonts w:ascii="Arial" w:cs="Arial" w:eastAsia="Arial" w:hAnsi="Arial"/>
          <w:sz w:val="20"/>
          <w:szCs w:val="20"/>
        </w:rPr>
        <w:t xml:space="preserve">Los fondos de inversión mixtos representan hoy una de las categorías más relevantes y demandadas en el panorama financiero español y europeo. Su atractivo radica en la flexibilidad estructural que ofrecen: combinan renta variable y renta fija en distintas proporciones, permitiendo a gestores profesionales adaptar la cartera al ciclo económico, la volatilidad de mercados y los objetivos de rentabilidad del inversor. En un entorno caracterizado por tipos de interés normalizándose tras el ciclo de subidas de 2022-2023, inflación persistente aunque en descenso y elevada incertidumbre geopolítica, la selección del fondo mixto adecuado se convierte en una decisión de enorme trascendencia patrimonial.</w:t>
      </w:r>
    </w:p>
    <w:p>
      <w:pPr>
        <w:spacing w:before="70" w:after="70"/>
        <w:jc w:val="both"/>
      </w:pPr>
      <w:r>
        <w:rPr>
          <w:rFonts w:ascii="Arial" w:cs="Arial" w:eastAsia="Arial" w:hAnsi="Arial"/>
          <w:sz w:val="20"/>
          <w:szCs w:val="20"/>
        </w:rPr>
        <w:t xml:space="preserve">El presente informe analiza en profundidad una selección de </w:t>
      </w:r>
      <w:r>
        <w:rPr>
          <w:rFonts w:ascii="Arial" w:cs="Arial" w:eastAsia="Arial" w:hAnsi="Arial"/>
          <w:b/>
          <w:bCs/>
          <w:sz w:val="20"/>
          <w:szCs w:val="20"/>
        </w:rPr>
        <w:t xml:space="preserve">7 fondos mixtos</w:t>
      </w:r>
      <w:r>
        <w:rPr>
          <w:rFonts w:ascii="Arial" w:cs="Arial" w:eastAsia="Arial" w:hAnsi="Arial"/>
          <w:sz w:val="20"/>
          <w:szCs w:val="20"/>
        </w:rPr>
        <w:t xml:space="preserve"> españoles y luxemburgueses que han superado un riguroso proceso de filtrado. Se han excluido fondos con </w:t>
      </w:r>
      <w:r>
        <w:rPr>
          <w:rFonts w:ascii="Arial" w:cs="Arial" w:eastAsia="Arial" w:hAnsi="Arial"/>
          <w:b/>
          <w:bCs/>
          <w:sz w:val="20"/>
          <w:szCs w:val="20"/>
        </w:rPr>
        <w:t xml:space="preserve">comisión de éxito</w:t>
      </w:r>
      <w:r>
        <w:rPr>
          <w:rFonts w:ascii="Arial" w:cs="Arial" w:eastAsia="Arial" w:hAnsi="Arial"/>
          <w:sz w:val="20"/>
          <w:szCs w:val="20"/>
        </w:rPr>
        <w:t xml:space="preserve">, con comisiones excesivas, con calificación Medalist Negative (Fondemar), con patrimonio o base de partícipes insuficientes (Alpha Investments, 106 partícipes) y las versiones más agresivas de la familia BLI (BL-Global 75 y BL-Global Flexible), conservando únicamente el BL-Global 50.</w:t>
      </w:r>
    </w:p>
    <w:p>
      <w:pPr>
        <w:spacing w:before="70" w:after="70"/>
        <w:jc w:val="both"/>
      </w:pPr>
      <w:r>
        <w:rPr>
          <w:rFonts w:ascii="Arial" w:cs="Arial" w:eastAsia="Arial" w:hAnsi="Arial"/>
          <w:sz w:val="20"/>
          <w:szCs w:val="20"/>
        </w:rPr>
        <w:t xml:space="preserve">Los 7 fondos se clasifican en tres categorías: </w:t>
      </w:r>
      <w:r>
        <w:rPr>
          <w:rFonts w:ascii="Arial" w:cs="Arial" w:eastAsia="Arial" w:hAnsi="Arial"/>
          <w:b/>
          <w:bCs/>
          <w:sz w:val="20"/>
          <w:szCs w:val="20"/>
        </w:rPr>
        <w:t xml:space="preserve">Mixtos Defensivos</w:t>
      </w:r>
      <w:r>
        <w:rPr>
          <w:rFonts w:ascii="Arial" w:cs="Arial" w:eastAsia="Arial" w:hAnsi="Arial"/>
          <w:sz w:val="20"/>
          <w:szCs w:val="20"/>
        </w:rPr>
        <w:t xml:space="preserve"> (RV neta &lt;25%), </w:t>
      </w:r>
      <w:r>
        <w:rPr>
          <w:rFonts w:ascii="Arial" w:cs="Arial" w:eastAsia="Arial" w:hAnsi="Arial"/>
          <w:b/>
          <w:bCs/>
          <w:sz w:val="20"/>
          <w:szCs w:val="20"/>
        </w:rPr>
        <w:t xml:space="preserve">Mixtos Moderados</w:t>
      </w:r>
      <w:r>
        <w:rPr>
          <w:rFonts w:ascii="Arial" w:cs="Arial" w:eastAsia="Arial" w:hAnsi="Arial"/>
          <w:sz w:val="20"/>
          <w:szCs w:val="20"/>
        </w:rPr>
        <w:t xml:space="preserve"> (RV 25%-75%) y </w:t>
      </w:r>
      <w:r>
        <w:rPr>
          <w:rFonts w:ascii="Arial" w:cs="Arial" w:eastAsia="Arial" w:hAnsi="Arial"/>
          <w:b/>
          <w:bCs/>
          <w:sz w:val="20"/>
          <w:szCs w:val="20"/>
        </w:rPr>
        <w:t xml:space="preserve">Mixtos Flexibles</w:t>
      </w:r>
      <w:r>
        <w:rPr>
          <w:rFonts w:ascii="Arial" w:cs="Arial" w:eastAsia="Arial" w:hAnsi="Arial"/>
          <w:sz w:val="20"/>
          <w:szCs w:val="20"/>
        </w:rPr>
        <w:t xml:space="preserve"> (sin restricción rígida, con posibilidad de posiciones cortas). Esta edición incorpora por primera vez datos sobre </w:t>
      </w:r>
      <w:r>
        <w:rPr>
          <w:rFonts w:ascii="Arial" w:cs="Arial" w:eastAsia="Arial" w:hAnsi="Arial"/>
          <w:b/>
          <w:bCs/>
          <w:sz w:val="20"/>
          <w:szCs w:val="20"/>
        </w:rPr>
        <w:t xml:space="preserve">distribución sectorial y regional de la renta variable, porcentaje de RF a largo plazo, exposición a metales preciosos y objetivo detallado de la inversión</w:t>
      </w:r>
      <w:r>
        <w:rPr>
          <w:rFonts w:ascii="Arial" w:cs="Arial" w:eastAsia="Arial" w:hAnsi="Arial"/>
          <w:sz w:val="20"/>
          <w:szCs w:val="20"/>
        </w:rPr>
        <w:t xml:space="preserve"> para cada fondo, obtenidos de sus folletos oficiales, webs de gestoras, Morningstar y CNMV.</w:t>
      </w:r>
    </w:p>
    <w:p>
      <w:pPr>
        <w:spacing w:before="70" w:after="70"/>
        <w:jc w:val="both"/>
      </w:pPr>
      <w:r>
        <w:rPr>
          <w:rFonts w:ascii="Arial" w:cs="Arial" w:eastAsia="Arial" w:hAnsi="Arial"/>
          <w:sz w:val="20"/>
          <w:szCs w:val="20"/>
        </w:rPr>
        <w:t xml:space="preserve">El análisis incorpora múltiples dimensiones: rentabilidad histórica anualizada a 1, 3 y 5 años; comportamiento en </w:t>
      </w:r>
      <w:r>
        <w:rPr>
          <w:rFonts w:ascii="Arial" w:cs="Arial" w:eastAsia="Arial" w:hAnsi="Arial"/>
          <w:b/>
          <w:bCs/>
          <w:sz w:val="20"/>
          <w:szCs w:val="20"/>
        </w:rPr>
        <w:t xml:space="preserve">2022</w:t>
      </w:r>
      <w:r>
        <w:rPr>
          <w:rFonts w:ascii="Arial" w:cs="Arial" w:eastAsia="Arial" w:hAnsi="Arial"/>
          <w:sz w:val="20"/>
          <w:szCs w:val="20"/>
        </w:rPr>
        <w:t xml:space="preserve"> (el peor año simultáneo para RV y RF en 40 años); métricas de riesgo ajustado (Sharpe, beta, alfa, volatilidad); estructura de costes (TER); calidad del equipo gestor y proceso de inversión; y tamaño y sostenibilidad del fondo.</w:t>
      </w:r>
    </w:p>
    <w:p>
      <w:pPr>
        <w:spacing w:before="70" w:after="70"/>
        <w:jc w:val="both"/>
      </w:pPr>
      <w:r>
        <w:rPr>
          <w:rFonts w:ascii="Arial" w:cs="Arial" w:eastAsia="Arial" w:hAnsi="Arial"/>
          <w:sz w:val="20"/>
          <w:szCs w:val="20"/>
        </w:rPr>
        <w:t xml:space="preserve">La </w:t>
      </w:r>
      <w:r>
        <w:rPr>
          <w:rFonts w:ascii="Arial" w:cs="Arial" w:eastAsia="Arial" w:hAnsi="Arial"/>
          <w:b/>
          <w:bCs/>
          <w:sz w:val="20"/>
          <w:szCs w:val="20"/>
        </w:rPr>
        <w:t xml:space="preserve">valoración propia (1-5 estrellas)</w:t>
      </w:r>
      <w:r>
        <w:rPr>
          <w:rFonts w:ascii="Arial" w:cs="Arial" w:eastAsia="Arial" w:hAnsi="Arial"/>
          <w:sz w:val="20"/>
          <w:szCs w:val="20"/>
        </w:rPr>
        <w:t xml:space="preserve"> integrada en cada ficha pondera principalmente la rentabilidad neta ajustada al riesgo (Sharpe neto de TER). El comportamiento en 2022 actúa como penalizador diferenciado: los fondos con pérdidas superiores al 10% ese año deben acreditar recuperación claramente superior en los años subsiguientes para mantener la puntuación.</w:t>
      </w:r>
    </w:p>
    <w:p>
      <w:pPr>
        <w:spacing w:before="70" w:after="70"/>
        <w:jc w:val="both"/>
      </w:pPr>
      <w:r>
        <w:rPr>
          <w:rFonts w:ascii="Arial" w:cs="Arial" w:eastAsia="Arial" w:hAnsi="Arial"/>
          <w:sz w:val="20"/>
          <w:szCs w:val="20"/>
        </w:rPr>
        <w:t xml:space="preserve">Las conclusiones incluyen </w:t>
      </w:r>
      <w:r>
        <w:rPr>
          <w:rFonts w:ascii="Arial" w:cs="Arial" w:eastAsia="Arial" w:hAnsi="Arial"/>
          <w:b/>
          <w:bCs/>
          <w:sz w:val="20"/>
          <w:szCs w:val="20"/>
        </w:rPr>
        <w:t xml:space="preserve">cuatro carteras recomendadas</w:t>
      </w:r>
      <w:r>
        <w:rPr>
          <w:rFonts w:ascii="Arial" w:cs="Arial" w:eastAsia="Arial" w:hAnsi="Arial"/>
          <w:sz w:val="20"/>
          <w:szCs w:val="20"/>
        </w:rPr>
        <w:t xml:space="preserve"> para perfiles de inversor distintos: prudente, decidido, intermedio diversificado (3 fondos), y una cuarta cartera combinada de 4 fondos (Renta 4 Delta R + BL-Global 50 + Cobas Renta + Baelo Patrimonio) que se analiza en profundidad en la Sección 5.</w:t>
      </w:r>
    </w:p>
    <w:p>
      <w:pPr>
        <w:spacing w:before="70" w:after="70"/>
        <w:jc w:val="both"/>
      </w:pPr>
      <w:r>
        <w:rPr>
          <w:rFonts w:ascii="Arial" w:cs="Arial" w:eastAsia="Arial" w:hAnsi="Arial"/>
          <w:i/>
          <w:iCs/>
          <w:sz w:val="20"/>
          <w:szCs w:val="20"/>
        </w:rPr>
        <w:t xml:space="preserve">Datos de Morningstar España, CNMV, webs de gestoras y plataformas especializadas. Rentabilidades referidas a diciembre 2025 / enero 2026. </w:t>
      </w:r>
      <w:r>
        <w:rPr>
          <w:rFonts w:ascii="Arial" w:cs="Arial" w:eastAsia="Arial" w:hAnsi="Arial"/>
          <w:b/>
          <w:bCs/>
          <w:i/>
          <w:iCs/>
          <w:sz w:val="20"/>
          <w:szCs w:val="20"/>
        </w:rPr>
        <w:t xml:space="preserve">La rentabilidad pasada no garantiza rentabilidad futura.</w:t>
      </w:r>
    </w:p>
    <w:p>
      <w:r>
        <w:br w:type="page"/>
      </w:r>
    </w:p>
    <w:p>
      <w:pPr>
        <w:pStyle w:val="Heading1"/>
      </w:pPr>
      <w:r>
        <w:rPr>
          <w:rFonts w:ascii="Arial" w:cs="Arial" w:eastAsia="Arial" w:hAnsi="Arial"/>
          <w:b/>
          <w:bCs/>
        </w:rPr>
        <w:t xml:space="preserve">2. Tabla Resumen Comparativa</w:t>
      </w:r>
    </w:p>
    <w:p>
      <w:pPr>
        <w:spacing w:before="40" w:after="100"/>
      </w:pPr>
      <w:r>
        <w:rPr>
          <w:rFonts w:ascii="Arial" w:cs="Arial" w:eastAsia="Arial" w:hAnsi="Arial"/>
          <w:i/>
          <w:iCs/>
          <w:color w:val="6B7280"/>
          <w:sz w:val="17"/>
          <w:szCs w:val="17"/>
        </w:rPr>
        <w:t xml:space="preserve">Datos actualizados a diciembre 2025/enero 2026. Rentabilidades anualizadas netas de comisiones. Mi valoración: Sharpe neto de TER + penalización por caídas en 2022.</w:t>
      </w:r>
    </w:p>
    <w:tbl>
      <w:tblPr>
        <w:tblW w:type="dxa" w:w="8760"/>
        <w:tblBorders>
          <w:top w:val="single" w:color="auto" w:sz="4"/>
          <w:left w:val="single" w:color="auto" w:sz="4"/>
          <w:bottom w:val="single" w:color="auto" w:sz="4"/>
          <w:right w:val="single" w:color="auto" w:sz="4"/>
          <w:insideH w:val="single" w:color="auto" w:sz="4"/>
          <w:insideV w:val="single" w:color="auto" w:sz="4"/>
        </w:tblBorders>
      </w:tblPr>
      <w:tblGrid>
        <w:gridCol w:w="1680"/>
        <w:gridCol w:w="840"/>
        <w:gridCol w:w="760"/>
        <w:gridCol w:w="660"/>
        <w:gridCol w:w="660"/>
        <w:gridCol w:w="700"/>
        <w:gridCol w:w="700"/>
        <w:gridCol w:w="700"/>
        <w:gridCol w:w="700"/>
        <w:gridCol w:w="660"/>
        <w:gridCol w:w="700"/>
      </w:tblGrid>
      <w:tr>
        <w:trPr>
          <w:tblHeader/>
        </w:trP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Fondo</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Categoría</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TER</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MS★</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Sharpe</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2022</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1 año</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3 años</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5 años</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Patr.</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Mi ★</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4"/>
                <w:szCs w:val="14"/>
              </w:rPr>
              <w:t xml:space="preserve">Ábaco Renta Fija Mixta Global C FI</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DEFENSIVOS</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C0392B"/>
                <w:sz w:val="14"/>
                <w:szCs w:val="14"/>
              </w:rPr>
              <w:t xml:space="preserve">1,35%</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3"/>
                <w:szCs w:val="13"/>
              </w:rPr>
              <w:t xml:space="preserve">★★★★★</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4A4A4A"/>
                <w:sz w:val="14"/>
                <w:szCs w:val="14"/>
              </w:rPr>
              <w:t xml:space="preserve">0.89</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+7,96%</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+7,66%</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+6,13%</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+7,50%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109,43</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4"/>
                <w:szCs w:val="14"/>
              </w:rPr>
              <w:t xml:space="preserve">★★★☆☆</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4"/>
                <w:szCs w:val="14"/>
              </w:rPr>
              <w:t xml:space="preserve">Cobas Renta FI</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DEFENSIVOS</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0,31%</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3"/>
                <w:szCs w:val="13"/>
              </w:rPr>
              <w:t xml:space="preserve">★★★★★</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4A4A4A"/>
                <w:sz w:val="14"/>
                <w:szCs w:val="14"/>
              </w:rPr>
              <w:t xml:space="preserve">1.25</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+3,89%</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+6,83%</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+6,82%</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+6,41%</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100,7</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4"/>
                <w:szCs w:val="14"/>
              </w:rPr>
              <w:t xml:space="preserve">★★★★★</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4"/>
                <w:szCs w:val="14"/>
              </w:rPr>
              <w:t xml:space="preserve">Myinvestor Cartera Permanente FI</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DEFENSIVOS</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4"/>
                <w:szCs w:val="14"/>
              </w:rPr>
              <w:t xml:space="preserve">1,08%</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3"/>
                <w:szCs w:val="13"/>
              </w:rPr>
              <w:t xml:space="preserve">★★★★★</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4A4A4A"/>
                <w:sz w:val="14"/>
                <w:szCs w:val="14"/>
              </w:rPr>
              <w:t xml:space="preserve">1.16</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-12,76%</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+11,79%</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+9,80%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+4,88%</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93,35</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4"/>
                <w:szCs w:val="14"/>
              </w:rPr>
              <w:t xml:space="preserve">★★★☆☆</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4"/>
                <w:szCs w:val="14"/>
              </w:rPr>
              <w:t xml:space="preserve">Baelo Patrimonio FI</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MODERADOS</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0,39%</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3"/>
                <w:szCs w:val="13"/>
              </w:rPr>
              <w:t xml:space="preserve">★★★★</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C0392B"/>
                <w:sz w:val="14"/>
                <w:szCs w:val="14"/>
              </w:rPr>
              <w:t xml:space="preserve">0.7</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-8,33%</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+9,94%</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+8,65%</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+6,35%</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86,05</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4"/>
                <w:szCs w:val="14"/>
              </w:rPr>
              <w:t xml:space="preserve">★★☆☆☆</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4"/>
                <w:szCs w:val="14"/>
              </w:rPr>
              <w:t xml:space="preserve">BL-Global 50 B EUR Acc</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MODERADOS</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C0392B"/>
                <w:sz w:val="14"/>
                <w:szCs w:val="14"/>
              </w:rPr>
              <w:t xml:space="preserve">1,45%</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3"/>
                <w:szCs w:val="13"/>
              </w:rPr>
              <w:t xml:space="preserve">★★★★★</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4A4A4A"/>
                <w:sz w:val="14"/>
                <w:szCs w:val="14"/>
              </w:rPr>
              <w:t xml:space="preserve">1.18</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-7,32%</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+14,35%</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+10,82%</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+6,66%</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500,08</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4"/>
                <w:szCs w:val="14"/>
              </w:rPr>
              <w:t xml:space="preserve">★★★★☆</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4"/>
                <w:szCs w:val="14"/>
              </w:rPr>
              <w:t xml:space="preserve">Impassive Wealth FI</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FLEXIBLES</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4"/>
                <w:szCs w:val="14"/>
              </w:rPr>
              <w:t xml:space="preserve">0,73%</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3"/>
                <w:szCs w:val="13"/>
              </w:rPr>
              <w:t xml:space="preserve">★★★★★</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4A4A4A"/>
                <w:sz w:val="14"/>
                <w:szCs w:val="14"/>
              </w:rPr>
              <w:t xml:space="preserve">1.11</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-11,70%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+9,66%</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+10,92%</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+7,29%</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25,91</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4"/>
                <w:szCs w:val="14"/>
              </w:rPr>
              <w:t xml:space="preserve">★★★☆☆</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4"/>
                <w:szCs w:val="14"/>
              </w:rPr>
              <w:t xml:space="preserve">Renta 4 Delta R FI</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FLEXIBLES</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4"/>
                <w:szCs w:val="14"/>
              </w:rPr>
              <w:t xml:space="preserve">1,00%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3"/>
                <w:szCs w:val="13"/>
              </w:rPr>
              <w:t xml:space="preserve">★★★★</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1.64</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-4,57%</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+15,51%</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+11,07%</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+6,53%</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9,19</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D97706"/>
                <w:sz w:val="14"/>
                <w:szCs w:val="14"/>
              </w:rPr>
              <w:t xml:space="preserve">★★★★★</w:t>
            </w:r>
          </w:p>
        </w:tc>
      </w:tr>
    </w:tbl>
    <w:p>
      <w:pPr>
        <w:spacing w:before="0" w:after="60"/>
      </w:pPr>
      <w:r>
        <w:rPr>
          <w:rFonts w:ascii="Arial" w:cs="Arial" w:eastAsia="Arial" w:hAnsi="Arial"/>
        </w:rPr>
        <w:t xml:space="preserve"/>
      </w:r>
    </w:p>
    <w:p>
      <w:pPr>
        <w:spacing w:after="50"/>
      </w:pPr>
      <w:r>
        <w:rPr>
          <w:rFonts w:ascii="Arial" w:cs="Arial" w:eastAsia="Arial" w:hAnsi="Arial"/>
          <w:b/>
          <w:bCs/>
          <w:sz w:val="17"/>
          <w:szCs w:val="17"/>
        </w:rPr>
        <w:t xml:space="preserve">Leyenda Mi Valoración: </w:t>
      </w:r>
      <w:r>
        <w:rPr>
          <w:rFonts w:ascii="Arial" w:cs="Arial" w:eastAsia="Arial" w:hAnsi="Arial"/>
          <w:color w:val="6B7280"/>
          <w:sz w:val="17"/>
          <w:szCs w:val="17"/>
        </w:rPr>
        <w:t xml:space="preserve">★★★★★ Excelente  |  ★★★★ Muy bueno  |  ★★★ Bueno  |  ★★ Aceptable  |  ★ Mejorable</w:t>
      </w:r>
    </w:p>
    <w:p>
      <w:pPr>
        <w:spacing w:after="50"/>
      </w:pPr>
      <w:r>
        <w:rPr>
          <w:rFonts w:ascii="Arial" w:cs="Arial" w:eastAsia="Arial" w:hAnsi="Arial"/>
          <w:b/>
          <w:bCs/>
          <w:sz w:val="17"/>
          <w:szCs w:val="17"/>
        </w:rPr>
        <w:t xml:space="preserve">Colores 2022: </w:t>
      </w:r>
      <w:r>
        <w:rPr>
          <w:rFonts w:ascii="Arial" w:cs="Arial" w:eastAsia="Arial" w:hAnsi="Arial"/>
          <w:color w:val="6B7280"/>
          <w:sz w:val="17"/>
          <w:szCs w:val="17"/>
        </w:rPr>
        <w:t xml:space="preserve">Verde = positivo  |  Ámbar = pérdida &lt;10%  |  Rojo = pérdida &gt;10%</w:t>
      </w:r>
    </w:p>
    <w:p>
      <w:r>
        <w:br w:type="page"/>
      </w:r>
    </w:p>
    <w:p>
      <w:pPr>
        <w:pStyle w:val="Heading1"/>
      </w:pPr>
      <w:r>
        <w:rPr>
          <w:rFonts w:ascii="Arial" w:cs="Arial" w:eastAsia="Arial" w:hAnsi="Arial"/>
          <w:b/>
          <w:bCs/>
        </w:rPr>
        <w:t xml:space="preserve">3. Análisis Individual de Fondos</w:t>
      </w:r>
    </w:p>
    <w:p>
      <w:pPr>
        <w:spacing w:after="60"/>
      </w:pPr>
      <w:r>
        <w:rPr>
          <w:rFonts w:ascii="Arial" w:cs="Arial" w:eastAsia="Arial" w:hAnsi="Arial"/>
          <w:i/>
          <w:iCs/>
          <w:color w:val="6B7280"/>
          <w:sz w:val="18"/>
          <w:szCs w:val="18"/>
        </w:rPr>
        <w:t xml:space="preserve">Cada fondo ocupa una página completa (márgenes optimizados para máxima densidad de información). Incluye distribución sectorial, regional, objetivo de inversión y valoración.</w:t>
      </w:r>
    </w:p>
    <w:p>
      <w:r>
        <w:br w:type="page"/>
      </w:r>
    </w:p>
    <w:p>
      <w:pPr>
        <w:sectPr>
          <w:pgSz w:w="12240" w:h="15840" w:orient="portrait"/>
          <w:pgMar w:top="900" w:right="900" w:bottom="900" w:left="900" w:header="708" w:footer="708" w:gutter="0"/>
          <w:pgNumType/>
          <w:docGrid w:linePitch="360"/>
        </w:sectPr>
      </w:pP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728"/>
        <w:gridCol w:w="3312"/>
      </w:tblGrid>
      <w:tr>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40" w:after="20"/>
            </w:pPr>
            <w:r>
              <w:rPr>
                <w:rFonts w:ascii="Arial" w:cs="Arial" w:eastAsia="Arial" w:hAnsi="Arial"/>
                <w:b/>
                <w:bCs/>
                <w:color w:val="FFFFFF"/>
                <w:sz w:val="22"/>
                <w:szCs w:val="22"/>
              </w:rPr>
              <w:t xml:space="preserve">1. Ábaco Renta Fija Mixta Global C FI</w:t>
            </w:r>
          </w:p>
          <w:p>
            <w:pPr>
              <w:spacing w:before="0" w:after="30"/>
            </w:pPr>
            <w:r>
              <w:rPr>
                <w:rFonts w:ascii="Arial" w:cs="Arial" w:eastAsia="Arial" w:hAnsi="Arial"/>
                <w:color w:val="CCDDFF"/>
                <w:sz w:val="14"/>
                <w:szCs w:val="14"/>
              </w:rPr>
              <w:t xml:space="preserve">ISIN: ES0140072028  ·  Mixto Defensivo EUR Global  ·  SRRI: 3/7</w:t>
            </w:r>
          </w:p>
        </w:tc>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30" w:after="10"/>
              <w:jc w:val="center"/>
            </w:pPr>
            <w:r>
              <w:rPr>
                <w:rFonts w:ascii="Arial" w:cs="Arial" w:eastAsia="Arial" w:hAnsi="Arial"/>
                <w:color w:val="CCDDFF"/>
                <w:sz w:val="14"/>
                <w:szCs w:val="14"/>
              </w:rPr>
              <w:t xml:space="preserve">Mi Valoración</w:t>
            </w:r>
          </w:p>
          <w:p>
            <w:pPr>
              <w:spacing w:before="0" w:after="10"/>
              <w:jc w:val="center"/>
            </w:pPr>
            <w:r>
              <w:rPr>
                <w:rFonts w:ascii="Arial" w:cs="Arial" w:eastAsia="Arial" w:hAnsi="Arial"/>
                <w:color w:val="FFD700"/>
                <w:sz w:val="28"/>
                <w:szCs w:val="28"/>
              </w:rPr>
              <w:t xml:space="preserve">★★★☆☆</w:t>
            </w:r>
          </w:p>
          <w:p>
            <w:pPr>
              <w:spacing w:before="0" w:after="30"/>
              <w:jc w:val="center"/>
            </w:pPr>
            <w:r>
              <w:rPr>
                <w:rFonts w:ascii="Arial" w:cs="Arial" w:eastAsia="Arial" w:hAnsi="Arial"/>
                <w:i/>
                <w:iCs/>
                <w:color w:val="AABBDD"/>
                <w:sz w:val="12"/>
                <w:szCs w:val="12"/>
              </w:rPr>
              <w:t xml:space="preserve">Sin Medalist</w:t>
            </w:r>
          </w:p>
        </w:tc>
      </w:tr>
    </w:tbl>
    <w:p>
      <w:pPr>
        <w:spacing w:before="46" w:after="32"/>
      </w:pP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2700"/>
        <w:gridCol w:w="1000"/>
        <w:gridCol w:w="2100"/>
        <w:gridCol w:w="780"/>
        <w:gridCol w:w="1100"/>
        <w:gridCol w:w="640"/>
        <w:gridCol w:w="52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Gestora</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Ábaco Capital S.A., SGIIC</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Gestor/es</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Pablo González López</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Inicio</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2"/>
                <w:szCs w:val="12"/>
              </w:rPr>
              <w:t xml:space="preserve">Mayo 2012</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TER</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1,35%</w:t>
            </w:r>
          </w:p>
        </w:tc>
      </w:tr>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Patrimonio</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109,43 M€ (dic 2025)</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Partícipes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n.d.</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MS★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D97706"/>
                <w:sz w:val="14"/>
                <w:szCs w:val="14"/>
              </w:rPr>
              <w:t xml:space="preserv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Beta</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0,07</w:t>
            </w:r>
          </w:p>
        </w:tc>
      </w:tr>
    </w:tbl>
    <w:p>
      <w:pPr>
        <w:spacing w:before="36" w:after="16"/>
      </w:pPr>
      <w:r>
        <w:rPr>
          <w:rFonts w:ascii="Arial" w:cs="Arial" w:eastAsia="Arial" w:hAnsi="Arial"/>
          <w:b/>
          <w:bCs/>
          <w:color w:val="1B3A6B"/>
          <w:sz w:val="13"/>
          <w:szCs w:val="13"/>
        </w:rPr>
        <w:t xml:space="preserve">RENTABILIDADES HISTÓRICAS Y MÉTRICAS DE RIESGO</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1100"/>
        <w:gridCol w:w="1100"/>
        <w:gridCol w:w="1300"/>
        <w:gridCol w:w="1100"/>
        <w:gridCol w:w="1200"/>
        <w:gridCol w:w="1400"/>
        <w:gridCol w:w="700"/>
        <w:gridCol w:w="640"/>
        <w:gridCol w:w="700"/>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1 año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3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5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2022</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2023</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2024</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Volatilidad</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Sharpe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Alfa</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4A4A4A"/>
                <w:sz w:val="14"/>
                <w:szCs w:val="14"/>
              </w:rPr>
              <w:t xml:space="preserve">+7,66%</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4A4A4A"/>
                <w:sz w:val="14"/>
                <w:szCs w:val="14"/>
              </w:rPr>
              <w:t xml:space="preserve">+6,13%</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+7,50%</w:t>
            </w:r>
          </w:p>
        </w:tc>
        <w:tc>
          <w:tcPr>
            <w:tcBorders>
              <w:top w:val="single" w:color="CCCCCC" w:sz="4"/>
              <w:left w:val="single" w:color="CCCCCC" w:sz="4"/>
              <w:bottom w:val="single" w:color="CCCCCC" w:sz="4"/>
              <w:right w:val="single" w:color="CCCCCC"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+7,96%</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+3,48%</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+6,53%</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3,19%</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0.89</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+2,75</w:t>
            </w:r>
          </w:p>
        </w:tc>
      </w:tr>
    </w:tbl>
    <w:p>
      <w:pPr>
        <w:spacing w:before="36" w:after="16"/>
      </w:pPr>
      <w:r>
        <w:rPr>
          <w:rFonts w:ascii="Arial" w:cs="Arial" w:eastAsia="Arial" w:hAnsi="Arial"/>
          <w:b/>
          <w:bCs/>
          <w:color w:val="1B3A6B"/>
          <w:sz w:val="13"/>
          <w:szCs w:val="13"/>
        </w:rPr>
        <w:t xml:space="preserve">DISTRIBUCIÓN DE ACTIVOS · RF LARGO PLAZO · METALES PRECIOSOS</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20"/>
        <w:gridCol w:w="780"/>
        <w:gridCol w:w="720"/>
        <w:gridCol w:w="780"/>
        <w:gridCol w:w="720"/>
        <w:gridCol w:w="780"/>
        <w:gridCol w:w="820"/>
        <w:gridCol w:w="1600"/>
        <w:gridCol w:w="820"/>
        <w:gridCol w:w="160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RV</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21,6%</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RF</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44,2%</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Cash</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26,7%</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RF Largo Plazo</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~35%</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Metales Prec.</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0%</w:t>
            </w:r>
          </w:p>
        </w:tc>
      </w:tr>
    </w:tbl>
    <w:p>
      <w:pPr>
        <w:spacing w:before="36" w:after="16"/>
      </w:pPr>
      <w:r>
        <w:rPr>
          <w:rFonts w:ascii="Arial" w:cs="Arial" w:eastAsia="Arial" w:hAnsi="Arial"/>
          <w:b/>
          <w:bCs/>
          <w:color w:val="1B3A6B"/>
          <w:sz w:val="13"/>
          <w:szCs w:val="13"/>
        </w:rPr>
        <w:t xml:space="preserve">DISTRIBUCIÓN SECTORIAL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760"/>
        <w:gridCol w:w="2760"/>
        <w:gridCol w:w="2760"/>
        <w:gridCol w:w="2760"/>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Energía/Shipping</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Materiales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Consumo Cíclico</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Industria</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58%</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22%</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12%</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8%</w:t>
            </w:r>
          </w:p>
        </w:tc>
      </w:tr>
    </w:tbl>
    <w:p>
      <w:pPr>
        <w:spacing w:before="36" w:after="16"/>
      </w:pPr>
      <w:r>
        <w:rPr>
          <w:rFonts w:ascii="Arial" w:cs="Arial" w:eastAsia="Arial" w:hAnsi="Arial"/>
          <w:b/>
          <w:bCs/>
          <w:color w:val="1B3A6B"/>
          <w:sz w:val="13"/>
          <w:szCs w:val="13"/>
        </w:rPr>
        <w:t xml:space="preserve">DISTRIBUCIÓN REGIONAL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760"/>
        <w:gridCol w:w="2760"/>
        <w:gridCol w:w="2760"/>
        <w:gridCol w:w="2760"/>
      </w:tblGrid>
      <w:tr>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Europa (no euro)</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Norteamérica</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Asia/Emergentes</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Otros OCDE</w:t>
            </w:r>
          </w:p>
        </w:tc>
      </w:tr>
      <w:tr>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55%</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25%</w:t>
            </w:r>
          </w:p>
        </w:tc>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15%</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5%</w:t>
            </w:r>
          </w:p>
        </w:tc>
      </w:tr>
    </w:tbl>
    <w:p>
      <w:pPr>
        <w:spacing w:before="36" w:after="16"/>
      </w:pPr>
      <w:r>
        <w:rPr>
          <w:rFonts w:ascii="Arial" w:cs="Arial" w:eastAsia="Arial" w:hAnsi="Arial"/>
          <w:b/>
          <w:bCs/>
          <w:color w:val="1B3A6B"/>
          <w:sz w:val="13"/>
          <w:szCs w:val="13"/>
        </w:rPr>
        <w:t xml:space="preserve">FORTALEZAS Y PUNTOS DE ATENCIÓN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5520"/>
        <w:gridCol w:w="5520"/>
      </w:tblGrid>
      <w:tr>
        <w:tc>
          <w:tcPr>
            <w:tcBorders>
              <w:top w:val="single" w:color="1A7A4A" w:sz="4"/>
              <w:left w:val="single" w:color="1A7A4A" w:sz="4"/>
              <w:bottom w:val="single" w:color="1A7A4A" w:sz="4"/>
              <w:right w:val="single" w:color="1A7A4A" w:sz="4"/>
            </w:tcBorders>
            <w:shd w:fill="1A7A4A"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FORTALEZAS</w:t>
            </w:r>
          </w:p>
        </w:tc>
        <w:tc>
          <w:tcPr>
            <w:tcBorders>
              <w:top w:val="single" w:color="C0392B" w:sz="4"/>
              <w:left w:val="single" w:color="C0392B" w:sz="4"/>
              <w:bottom w:val="single" w:color="C0392B" w:sz="4"/>
              <w:right w:val="single" w:color="C0392B" w:sz="4"/>
            </w:tcBorders>
            <w:shd w:fill="C0392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PUNTOS DE ATENCIÓN</w:t>
            </w:r>
          </w:p>
        </w:tc>
      </w:tr>
      <w:tr>
        <w:tc>
          <w:tcPr>
            <w:tcBorders>
              <w:top w:val="single" w:color="AAAAAA" w:sz="4"/>
              <w:left w:val="single" w:color="AAAAAA" w:sz="4"/>
              <w:bottom w:val="single" w:color="AAAAAA" w:sz="4"/>
              <w:right w:val="single" w:color="AAAAAA" w:sz="4"/>
            </w:tcBorders>
            <w:shd w:fill="D1FAE5" w:val="clear"/>
            <w:tcMar>
              <w:top w:type="dxa" w:w="50"/>
              <w:left w:type="dxa" w:w="90"/>
              <w:bottom w:type="dxa" w:w="50"/>
              <w:right w:type="dxa" w:w="90"/>
            </w:tcMar>
          </w:tcPr>
          <w:p>
            <w:pPr>
              <w:spacing w:before="15" w:after="15"/>
            </w:pPr>
            <w:r>
              <w:rPr>
                <w:rFonts w:ascii="Arial" w:cs="Arial" w:eastAsia="Arial" w:hAnsi="Arial"/>
                <w:sz w:val="13"/>
                <w:szCs w:val="13"/>
              </w:rPr>
              <w:t xml:space="preserve">• Menor volatilidad del universo (3,19%)</w:t>
            </w:r>
          </w:p>
          <w:p>
            <w:pPr>
              <w:spacing w:before="15" w:after="15"/>
            </w:pPr>
            <w:r>
              <w:rPr>
                <w:rFonts w:ascii="Arial" w:cs="Arial" w:eastAsia="Arial" w:hAnsi="Arial"/>
                <w:sz w:val="13"/>
                <w:szCs w:val="13"/>
              </w:rPr>
              <w:t xml:space="preserve">• Único positivo en 2022 (+7,96%): resiliencia estructural única</w:t>
            </w:r>
          </w:p>
          <w:p>
            <w:pPr>
              <w:spacing w:before="15" w:after="15"/>
            </w:pPr>
            <w:r>
              <w:rPr>
                <w:rFonts w:ascii="Arial" w:cs="Arial" w:eastAsia="Arial" w:hAnsi="Arial"/>
                <w:sz w:val="13"/>
                <w:szCs w:val="13"/>
              </w:rPr>
              <w:t xml:space="preserve">• Alfa positivo sostenido (+2,75)</w:t>
            </w:r>
          </w:p>
          <w:p>
            <w:pPr>
              <w:spacing w:before="15" w:after="15"/>
            </w:pPr>
            <w:r>
              <w:rPr>
                <w:rFonts w:ascii="Arial" w:cs="Arial" w:eastAsia="Arial" w:hAnsi="Arial"/>
                <w:sz w:val="13"/>
                <w:szCs w:val="13"/>
              </w:rPr>
              <w:t xml:space="preserve">• Diversificación en RF corporativa de nicho</w:t>
            </w:r>
          </w:p>
        </w:tc>
        <w:tc>
          <w:tcPr>
            <w:tcBorders>
              <w:top w:val="single" w:color="AAAAAA" w:sz="4"/>
              <w:left w:val="single" w:color="AAAAAA" w:sz="4"/>
              <w:bottom w:val="single" w:color="AAAAAA" w:sz="4"/>
              <w:right w:val="single" w:color="AAAAAA" w:sz="4"/>
            </w:tcBorders>
            <w:shd w:fill="FEE2E2" w:val="clear"/>
            <w:tcMar>
              <w:top w:type="dxa" w:w="50"/>
              <w:left w:type="dxa" w:w="90"/>
              <w:bottom w:type="dxa" w:w="50"/>
              <w:right w:type="dxa" w:w="90"/>
            </w:tcMar>
          </w:tcPr>
          <w:p>
            <w:pPr>
              <w:spacing w:before="15" w:after="15"/>
            </w:pPr>
            <w:r>
              <w:rPr>
                <w:rFonts w:ascii="Arial" w:cs="Arial" w:eastAsia="Arial" w:hAnsi="Arial"/>
                <w:sz w:val="13"/>
                <w:szCs w:val="13"/>
              </w:rPr>
              <w:t xml:space="preserve">• TER alto (1,35%) para categoría defensiva</w:t>
            </w:r>
          </w:p>
          <w:p>
            <w:pPr>
              <w:spacing w:before="15" w:after="15"/>
            </w:pPr>
            <w:r>
              <w:rPr>
                <w:rFonts w:ascii="Arial" w:cs="Arial" w:eastAsia="Arial" w:hAnsi="Arial"/>
                <w:sz w:val="13"/>
                <w:szCs w:val="13"/>
              </w:rPr>
              <w:t xml:space="preserve">• Sharpe 0,89: inferior a la mayoría del universo</w:t>
            </w:r>
          </w:p>
          <w:p>
            <w:pPr>
              <w:spacing w:before="15" w:after="15"/>
            </w:pPr>
            <w:r>
              <w:rPr>
                <w:rFonts w:ascii="Arial" w:cs="Arial" w:eastAsia="Arial" w:hAnsi="Arial"/>
                <w:sz w:val="13"/>
                <w:szCs w:val="13"/>
              </w:rPr>
              <w:t xml:space="preserve">• Alta concentración en energía/shipping (58% RV)</w:t>
            </w:r>
          </w:p>
          <w:p>
            <w:pPr>
              <w:spacing w:before="15" w:after="15"/>
            </w:pPr>
            <w:r>
              <w:rPr>
                <w:rFonts w:ascii="Arial" w:cs="Arial" w:eastAsia="Arial" w:hAnsi="Arial"/>
                <w:sz w:val="13"/>
                <w:szCs w:val="13"/>
              </w:rPr>
              <w:t xml:space="preserve">• Cash elevado (26,7%) limita rentabilidad en alcistas</w:t>
            </w:r>
          </w:p>
        </w:tc>
      </w:tr>
    </w:tbl>
    <w:p>
      <w:pPr>
        <w:spacing w:before="36" w:after="16"/>
      </w:pPr>
      <w:r>
        <w:rPr>
          <w:rFonts w:ascii="Arial" w:cs="Arial" w:eastAsia="Arial" w:hAnsi="Arial"/>
          <w:b/>
          <w:bCs/>
          <w:color w:val="1B3A6B"/>
          <w:sz w:val="13"/>
          <w:szCs w:val="13"/>
        </w:rPr>
        <w:t xml:space="preserve">PRINCIPALES POSICIONES Y VALORACIÓN ANALÍTICA</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4195"/>
        <w:gridCol w:w="6845"/>
      </w:tblGrid>
      <w:tr>
        <w:tc>
          <w:tcPr>
            <w:tcBorders>
              <w:top w:val="single" w:color="CCCCCC" w:sz="4"/>
              <w:left w:val="single" w:color="CCCCCC" w:sz="4"/>
              <w:bottom w:val="single" w:color="CCCCCC" w:sz="4"/>
              <w:right w:val="single" w:color="CCCCCC" w:sz="4"/>
            </w:tcBorders>
            <w:shd w:fill="F2F4F7" w:val="clear"/>
            <w:tcMar>
              <w:top w:type="dxa" w:w="50"/>
              <w:left w:type="dxa" w:w="100"/>
              <w:bottom w:type="dxa" w:w="50"/>
              <w:right w:type="dxa" w:w="100"/>
            </w:tcMar>
          </w:tcPr>
          <w:p>
            <w:pPr>
              <w:spacing w:before="15" w:after="20"/>
            </w:pPr>
            <w:r>
              <w:rPr>
                <w:rFonts w:ascii="Arial" w:cs="Arial" w:eastAsia="Arial" w:hAnsi="Arial"/>
                <w:b/>
                <w:bCs/>
                <w:color w:val="1B3A6B"/>
                <w:sz w:val="14"/>
                <w:szCs w:val="14"/>
              </w:rPr>
              <w:t xml:space="preserve">TOP 5 POSICIONES</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Golar LNG 3.875% (6,4%)</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Intl Petroleum Corp 3.625% (4,2%)</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Basic-Fit 0.75% (3,6%)</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TAV Havalimanlari 4.25% (2,8%)</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Kosmos Energy 3.562% (2,8%)</w:t>
            </w:r>
          </w:p>
        </w:tc>
        <w:tc>
          <w:tcPr>
            <w:tcBorders>
              <w:top w:val="single" w:color="CCCCCC" w:sz="4"/>
              <w:left w:val="single" w:color="CCCCCC" w:sz="4"/>
              <w:bottom w:val="single" w:color="CCCCCC" w:sz="4"/>
              <w:right w:val="single" w:color="CCCCCC" w:sz="4"/>
            </w:tcBorders>
            <w:shd w:fill="FFF8E7" w:val="clear"/>
            <w:tcMar>
              <w:top w:type="dxa" w:w="50"/>
              <w:left w:type="dxa" w:w="100"/>
              <w:bottom w:type="dxa" w:w="50"/>
              <w:right w:type="dxa" w:w="100"/>
            </w:tcMar>
          </w:tcPr>
          <w:p>
            <w:pPr>
              <w:spacing w:before="15" w:after="15"/>
            </w:pPr>
            <w:r>
              <w:rPr>
                <w:rFonts w:ascii="Arial" w:cs="Arial" w:eastAsia="Arial" w:hAnsi="Arial"/>
                <w:b/>
                <w:bCs/>
                <w:color w:val="1B3A6B"/>
                <w:sz w:val="14"/>
                <w:szCs w:val="14"/>
              </w:rPr>
              <w:t xml:space="preserve">ESTRATEGIA Y VALORACIÓN ANALÍTICA</w:t>
            </w:r>
          </w:p>
          <w:p>
            <w:pPr>
              <w:spacing w:before="0" w:after="15"/>
              <w:jc w:val="both"/>
            </w:pPr>
            <w:r>
              <w:rPr>
                <w:rFonts w:ascii="Arial" w:cs="Arial" w:eastAsia="Arial" w:hAnsi="Arial"/>
                <w:sz w:val="13"/>
                <w:szCs w:val="13"/>
              </w:rPr>
              <w:t xml:space="preserve">Mixto defensivo value. Máx 30% RV, sin restricciones geog./sectoriales. Filosofía de inversión en activos infravalorados a largo plazo.</w:t>
            </w:r>
          </w:p>
          <w:p>
            <w:pPr>
              <w:spacing w:before="8" w:after="8"/>
            </w:pPr>
            <w:r>
              <w:rPr>
                <w:rFonts w:ascii="Arial" w:cs="Arial" w:eastAsia="Arial" w:hAnsi="Arial"/>
                <w:b/>
                <w:bCs/>
                <w:sz w:val="13"/>
                <w:szCs w:val="13"/>
              </w:rPr>
              <w:t xml:space="preserve">Rentabilidad esperada neta: </w:t>
            </w:r>
            <w:r>
              <w:rPr>
                <w:rFonts w:ascii="Arial" w:cs="Arial" w:eastAsia="Arial" w:hAnsi="Arial"/>
                <w:b/>
                <w:bCs/>
                <w:color w:val="1A7A4A"/>
                <w:sz w:val="13"/>
                <w:szCs w:val="13"/>
              </w:rPr>
              <w:t xml:space="preserve">4% – 6% neto/año</w:t>
            </w:r>
          </w:p>
          <w:p>
            <w:pPr>
              <w:spacing w:before="5" w:after="0"/>
              <w:jc w:val="both"/>
            </w:pPr>
            <w:r>
              <w:rPr>
                <w:rFonts w:ascii="Arial" w:cs="Arial" w:eastAsia="Arial" w:hAnsi="Arial"/>
                <w:i/>
                <w:iCs/>
                <w:color w:val="4A4A4A"/>
                <w:sz w:val="12"/>
                <w:szCs w:val="12"/>
              </w:rPr>
              <w:t xml:space="preserve">Protección en crisis excepcional (2022 +7,96%), pero TER alto y Sharpe bajo reducen atractivo frente a alternativas más eficientes en coste.</w:t>
            </w:r>
          </w:p>
        </w:tc>
      </w:tr>
    </w:tbl>
    <w:p>
      <w:pPr>
        <w:spacing w:before="36" w:after="16"/>
      </w:pPr>
      <w:r>
        <w:rPr>
          <w:rFonts w:ascii="Arial" w:cs="Arial" w:eastAsia="Arial" w:hAnsi="Arial"/>
          <w:b/>
          <w:bCs/>
          <w:color w:val="1B3A6B"/>
          <w:sz w:val="13"/>
          <w:szCs w:val="13"/>
        </w:rPr>
        <w:t xml:space="preserve">OBJETIVO DE LA INVERSIÓN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40"/>
      </w:tblGrid>
      <w:tr>
        <w:tc>
          <w:tcPr>
            <w:tcBorders>
              <w:top w:val="single" w:color="9999CC" w:sz="4"/>
              <w:left w:val="single" w:color="9999CC" w:sz="4"/>
              <w:bottom w:val="single" w:color="9999CC" w:sz="4"/>
              <w:right w:val="single" w:color="9999CC" w:sz="4"/>
            </w:tcBorders>
            <w:shd w:fill="EDE9FE" w:val="clear"/>
            <w:tcMar>
              <w:top w:type="dxa" w:w="55"/>
              <w:left w:type="dxa" w:w="130"/>
              <w:bottom w:type="dxa" w:w="55"/>
              <w:right w:type="dxa" w:w="130"/>
            </w:tcMar>
          </w:tcPr>
          <w:p>
            <w:pPr>
              <w:spacing w:before="10" w:after="15"/>
            </w:pPr>
            <w:r>
              <w:rPr>
                <w:rFonts w:ascii="Arial" w:cs="Arial" w:eastAsia="Arial" w:hAnsi="Arial"/>
                <w:b/>
                <w:bCs/>
                <w:color w:val="6D28D9"/>
                <w:sz w:val="14"/>
                <w:szCs w:val="14"/>
              </w:rPr>
              <w:t xml:space="preserve">🎯  OBJETIVO DE LA INVERSIÓN</w:t>
            </w:r>
          </w:p>
          <w:p>
            <w:pPr>
              <w:spacing w:before="0" w:after="0"/>
              <w:jc w:val="both"/>
            </w:pPr>
            <w:r>
              <w:rPr>
                <w:rFonts w:ascii="Arial" w:cs="Arial" w:eastAsia="Arial" w:hAnsi="Arial"/>
                <w:color w:val="4A4A4A"/>
                <w:sz w:val="13"/>
                <w:szCs w:val="13"/>
              </w:rPr>
              <w:t xml:space="preserve">Preservar y hacer crecer el capital del fondo, generando rentabilidades a largo plazo por encima de las del mercado. Invierte hasta un 30% en renta variable global (sin restricciones geográficas, sectoriales ni de capitalización) y el resto en renta fija pública y/o privada. La duración media de la RF no está predeterminada y puede ser incluso negativa puntualmente mediante derivados. Filosofía de inversión value: selección de activos cuyo precio de mercado está por debajo de su valoración fundamental a largo plazo. La liquidez se contempla explícitamente como opción de inversión. Riesgo divisa máximo del 50% de la exposición total. Universo de inversión: países OCDE y emergentes, sin limitación. (Fuente: Ábaco Capital / CNMV)</w:t>
            </w:r>
          </w:p>
        </w:tc>
      </w:tr>
    </w:tbl>
    <w:p>
      <w:r>
        <w:br w:type="page"/>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728"/>
        <w:gridCol w:w="3312"/>
      </w:tblGrid>
      <w:tr>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40" w:after="20"/>
            </w:pPr>
            <w:r>
              <w:rPr>
                <w:rFonts w:ascii="Arial" w:cs="Arial" w:eastAsia="Arial" w:hAnsi="Arial"/>
                <w:b/>
                <w:bCs/>
                <w:color w:val="FFFFFF"/>
                <w:sz w:val="22"/>
                <w:szCs w:val="22"/>
              </w:rPr>
              <w:t xml:space="preserve">2. Cobas Renta FI</w:t>
            </w:r>
          </w:p>
          <w:p>
            <w:pPr>
              <w:spacing w:before="0" w:after="30"/>
            </w:pPr>
            <w:r>
              <w:rPr>
                <w:rFonts w:ascii="Arial" w:cs="Arial" w:eastAsia="Arial" w:hAnsi="Arial"/>
                <w:color w:val="CCDDFF"/>
                <w:sz w:val="14"/>
                <w:szCs w:val="14"/>
              </w:rPr>
              <w:t xml:space="preserve">ISIN: ES0119207001  ·  Mixto Defensivo EUR  ·  SRRI: 3/7</w:t>
            </w:r>
          </w:p>
        </w:tc>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30" w:after="10"/>
              <w:jc w:val="center"/>
            </w:pPr>
            <w:r>
              <w:rPr>
                <w:rFonts w:ascii="Arial" w:cs="Arial" w:eastAsia="Arial" w:hAnsi="Arial"/>
                <w:color w:val="CCDDFF"/>
                <w:sz w:val="14"/>
                <w:szCs w:val="14"/>
              </w:rPr>
              <w:t xml:space="preserve">Mi Valoración</w:t>
            </w:r>
          </w:p>
          <w:p>
            <w:pPr>
              <w:spacing w:before="0" w:after="10"/>
              <w:jc w:val="center"/>
            </w:pPr>
            <w:r>
              <w:rPr>
                <w:rFonts w:ascii="Arial" w:cs="Arial" w:eastAsia="Arial" w:hAnsi="Arial"/>
                <w:color w:val="FFD700"/>
                <w:sz w:val="28"/>
                <w:szCs w:val="28"/>
              </w:rPr>
              <w:t xml:space="preserve">★★★★★</w:t>
            </w:r>
          </w:p>
          <w:p>
            <w:pPr>
              <w:spacing w:before="0" w:after="30"/>
              <w:jc w:val="center"/>
            </w:pPr>
            <w:r>
              <w:rPr>
                <w:rFonts w:ascii="Arial" w:cs="Arial" w:eastAsia="Arial" w:hAnsi="Arial"/>
                <w:i/>
                <w:iCs/>
                <w:color w:val="AABBDD"/>
                <w:sz w:val="12"/>
                <w:szCs w:val="12"/>
              </w:rPr>
              <w:t xml:space="preserve">Sin Medalist</w:t>
            </w:r>
          </w:p>
        </w:tc>
      </w:tr>
    </w:tbl>
    <w:p>
      <w:pPr>
        <w:spacing w:before="46" w:after="32"/>
      </w:pP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2700"/>
        <w:gridCol w:w="1000"/>
        <w:gridCol w:w="2100"/>
        <w:gridCol w:w="780"/>
        <w:gridCol w:w="1100"/>
        <w:gridCol w:w="640"/>
        <w:gridCol w:w="52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Gestora</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Cobas Asset Management SGIIC S.A.</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Gestor/es</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Francisco García Paramés</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Inicio</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2"/>
                <w:szCs w:val="12"/>
              </w:rPr>
              <w:t xml:space="preserve">3 marzo 2017</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TER</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0,31%</w:t>
            </w:r>
          </w:p>
        </w:tc>
      </w:tr>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Patrimonio</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100,7 M€ (ene 2026)</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Partícipes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1.239 (jun 2025)</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MS★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D97706"/>
                <w:sz w:val="14"/>
                <w:szCs w:val="14"/>
              </w:rPr>
              <w:t xml:space="preserv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Beta</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0,04</w:t>
            </w:r>
          </w:p>
        </w:tc>
      </w:tr>
    </w:tbl>
    <w:p>
      <w:pPr>
        <w:spacing w:before="36" w:after="16"/>
      </w:pPr>
      <w:r>
        <w:rPr>
          <w:rFonts w:ascii="Arial" w:cs="Arial" w:eastAsia="Arial" w:hAnsi="Arial"/>
          <w:b/>
          <w:bCs/>
          <w:color w:val="1B3A6B"/>
          <w:sz w:val="13"/>
          <w:szCs w:val="13"/>
        </w:rPr>
        <w:t xml:space="preserve">RENTABILIDADES HISTÓRICAS Y MÉTRICAS DE RIESGO</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1100"/>
        <w:gridCol w:w="1100"/>
        <w:gridCol w:w="1300"/>
        <w:gridCol w:w="1100"/>
        <w:gridCol w:w="1200"/>
        <w:gridCol w:w="1400"/>
        <w:gridCol w:w="700"/>
        <w:gridCol w:w="640"/>
        <w:gridCol w:w="700"/>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1 año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3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5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2022</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2023</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2024</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Volatilidad</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Sharpe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Alfa</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4A4A4A"/>
                <w:sz w:val="14"/>
                <w:szCs w:val="14"/>
              </w:rPr>
              <w:t xml:space="preserve">+6,83%</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4A4A4A"/>
                <w:sz w:val="14"/>
                <w:szCs w:val="14"/>
              </w:rPr>
              <w:t xml:space="preserve">+6,82%</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+6,41%</w:t>
            </w:r>
          </w:p>
        </w:tc>
        <w:tc>
          <w:tcPr>
            <w:tcBorders>
              <w:top w:val="single" w:color="CCCCCC" w:sz="4"/>
              <w:left w:val="single" w:color="CCCCCC" w:sz="4"/>
              <w:bottom w:val="single" w:color="CCCCCC" w:sz="4"/>
              <w:right w:val="single" w:color="CCCCCC"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+3,89%</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+6,10%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+7,90%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2,99%</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4A4A4A"/>
                <w:sz w:val="14"/>
                <w:szCs w:val="14"/>
              </w:rPr>
              <w:t xml:space="preserve">1.25</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+3,67</w:t>
            </w:r>
          </w:p>
        </w:tc>
      </w:tr>
    </w:tbl>
    <w:p>
      <w:pPr>
        <w:spacing w:before="36" w:after="16"/>
      </w:pPr>
      <w:r>
        <w:rPr>
          <w:rFonts w:ascii="Arial" w:cs="Arial" w:eastAsia="Arial" w:hAnsi="Arial"/>
          <w:b/>
          <w:bCs/>
          <w:color w:val="1B3A6B"/>
          <w:sz w:val="13"/>
          <w:szCs w:val="13"/>
        </w:rPr>
        <w:t xml:space="preserve">DISTRIBUCIÓN DE ACTIVOS · RF LARGO PLAZO · METALES PRECIOSOS</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20"/>
        <w:gridCol w:w="780"/>
        <w:gridCol w:w="720"/>
        <w:gridCol w:w="780"/>
        <w:gridCol w:w="720"/>
        <w:gridCol w:w="780"/>
        <w:gridCol w:w="820"/>
        <w:gridCol w:w="1600"/>
        <w:gridCol w:w="820"/>
        <w:gridCol w:w="160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RV</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14,5%</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RF</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57,5%</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Cash</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28,0%</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RF Largo Plazo</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~15% (mayoría RF &lt;2 años)</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Metales Prec.</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0%</w:t>
            </w:r>
          </w:p>
        </w:tc>
      </w:tr>
    </w:tbl>
    <w:p>
      <w:pPr>
        <w:spacing w:before="36" w:after="16"/>
      </w:pPr>
      <w:r>
        <w:rPr>
          <w:rFonts w:ascii="Arial" w:cs="Arial" w:eastAsia="Arial" w:hAnsi="Arial"/>
          <w:b/>
          <w:bCs/>
          <w:color w:val="1B3A6B"/>
          <w:sz w:val="13"/>
          <w:szCs w:val="13"/>
        </w:rPr>
        <w:t xml:space="preserve">DISTRIBUCIÓN SECTORIAL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760"/>
        <w:gridCol w:w="2760"/>
        <w:gridCol w:w="2760"/>
        <w:gridCol w:w="2760"/>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Energía/Recursos</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Materiales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Consumo Cíclico</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Otros</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68%</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18%</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9%</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5%</w:t>
            </w:r>
          </w:p>
        </w:tc>
      </w:tr>
    </w:tbl>
    <w:p>
      <w:pPr>
        <w:spacing w:before="36" w:after="16"/>
      </w:pPr>
      <w:r>
        <w:rPr>
          <w:rFonts w:ascii="Arial" w:cs="Arial" w:eastAsia="Arial" w:hAnsi="Arial"/>
          <w:b/>
          <w:bCs/>
          <w:color w:val="1B3A6B"/>
          <w:sz w:val="13"/>
          <w:szCs w:val="13"/>
        </w:rPr>
        <w:t xml:space="preserve">DISTRIBUCIÓN REGIONAL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760"/>
        <w:gridCol w:w="2760"/>
        <w:gridCol w:w="2760"/>
        <w:gridCol w:w="2760"/>
      </w:tblGrid>
      <w:tr>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Zona Euro</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Europa (no euro)</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Norteamérica</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Resto</w:t>
            </w:r>
          </w:p>
        </w:tc>
      </w:tr>
      <w:tr>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78%</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5%</w:t>
            </w:r>
          </w:p>
        </w:tc>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17%</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0%</w:t>
            </w:r>
          </w:p>
        </w:tc>
      </w:tr>
    </w:tbl>
    <w:p>
      <w:pPr>
        <w:spacing w:before="36" w:after="16"/>
      </w:pPr>
      <w:r>
        <w:rPr>
          <w:rFonts w:ascii="Arial" w:cs="Arial" w:eastAsia="Arial" w:hAnsi="Arial"/>
          <w:b/>
          <w:bCs/>
          <w:color w:val="1B3A6B"/>
          <w:sz w:val="13"/>
          <w:szCs w:val="13"/>
        </w:rPr>
        <w:t xml:space="preserve">FORTALEZAS Y PUNTOS DE ATENCIÓN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5520"/>
        <w:gridCol w:w="5520"/>
      </w:tblGrid>
      <w:tr>
        <w:tc>
          <w:tcPr>
            <w:tcBorders>
              <w:top w:val="single" w:color="1A7A4A" w:sz="4"/>
              <w:left w:val="single" w:color="1A7A4A" w:sz="4"/>
              <w:bottom w:val="single" w:color="1A7A4A" w:sz="4"/>
              <w:right w:val="single" w:color="1A7A4A" w:sz="4"/>
            </w:tcBorders>
            <w:shd w:fill="1A7A4A"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FORTALEZAS</w:t>
            </w:r>
          </w:p>
        </w:tc>
        <w:tc>
          <w:tcPr>
            <w:tcBorders>
              <w:top w:val="single" w:color="C0392B" w:sz="4"/>
              <w:left w:val="single" w:color="C0392B" w:sz="4"/>
              <w:bottom w:val="single" w:color="C0392B" w:sz="4"/>
              <w:right w:val="single" w:color="C0392B" w:sz="4"/>
            </w:tcBorders>
            <w:shd w:fill="C0392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PUNTOS DE ATENCIÓN</w:t>
            </w:r>
          </w:p>
        </w:tc>
      </w:tr>
      <w:tr>
        <w:tc>
          <w:tcPr>
            <w:tcBorders>
              <w:top w:val="single" w:color="AAAAAA" w:sz="4"/>
              <w:left w:val="single" w:color="AAAAAA" w:sz="4"/>
              <w:bottom w:val="single" w:color="AAAAAA" w:sz="4"/>
              <w:right w:val="single" w:color="AAAAAA" w:sz="4"/>
            </w:tcBorders>
            <w:shd w:fill="D1FAE5" w:val="clear"/>
            <w:tcMar>
              <w:top w:type="dxa" w:w="50"/>
              <w:left w:type="dxa" w:w="90"/>
              <w:bottom w:type="dxa" w:w="50"/>
              <w:right w:type="dxa" w:w="90"/>
            </w:tcMar>
          </w:tcPr>
          <w:p>
            <w:pPr>
              <w:spacing w:before="15" w:after="15"/>
            </w:pPr>
            <w:r>
              <w:rPr>
                <w:rFonts w:ascii="Arial" w:cs="Arial" w:eastAsia="Arial" w:hAnsi="Arial"/>
                <w:sz w:val="13"/>
                <w:szCs w:val="13"/>
              </w:rPr>
              <w:t xml:space="preserve">• TER MÁS BAJO del universo (0,31%): máxima eficiencia</w:t>
            </w:r>
          </w:p>
          <w:p>
            <w:pPr>
              <w:spacing w:before="15" w:after="15"/>
            </w:pPr>
            <w:r>
              <w:rPr>
                <w:rFonts w:ascii="Arial" w:cs="Arial" w:eastAsia="Arial" w:hAnsi="Arial"/>
                <w:sz w:val="13"/>
                <w:szCs w:val="13"/>
              </w:rPr>
              <w:t xml:space="preserve">• Sharpe 1,25 notable con volatilidad mínima (2,99%)</w:t>
            </w:r>
          </w:p>
          <w:p>
            <w:pPr>
              <w:spacing w:before="15" w:after="15"/>
            </w:pPr>
            <w:r>
              <w:rPr>
                <w:rFonts w:ascii="Arial" w:cs="Arial" w:eastAsia="Arial" w:hAnsi="Arial"/>
                <w:sz w:val="13"/>
                <w:szCs w:val="13"/>
              </w:rPr>
              <w:t xml:space="preserve">• Positivo en 2022 (+3,89%): protección estructural</w:t>
            </w:r>
          </w:p>
          <w:p>
            <w:pPr>
              <w:spacing w:before="15" w:after="15"/>
            </w:pPr>
            <w:r>
              <w:rPr>
                <w:rFonts w:ascii="Arial" w:cs="Arial" w:eastAsia="Arial" w:hAnsi="Arial"/>
                <w:sz w:val="13"/>
                <w:szCs w:val="13"/>
              </w:rPr>
              <w:t xml:space="preserve">• Alfa +3,67: generación consistente de valor activo</w:t>
            </w:r>
          </w:p>
          <w:p>
            <w:pPr>
              <w:spacing w:before="15" w:after="15"/>
            </w:pPr>
            <w:r>
              <w:rPr>
                <w:rFonts w:ascii="Arial" w:cs="Arial" w:eastAsia="Arial" w:hAnsi="Arial"/>
                <w:sz w:val="13"/>
                <w:szCs w:val="13"/>
              </w:rPr>
              <w:t xml:space="preserve">• Beta 0,04: prácticamente sin correlación con mercados</w:t>
            </w:r>
          </w:p>
        </w:tc>
        <w:tc>
          <w:tcPr>
            <w:tcBorders>
              <w:top w:val="single" w:color="AAAAAA" w:sz="4"/>
              <w:left w:val="single" w:color="AAAAAA" w:sz="4"/>
              <w:bottom w:val="single" w:color="AAAAAA" w:sz="4"/>
              <w:right w:val="single" w:color="AAAAAA" w:sz="4"/>
            </w:tcBorders>
            <w:shd w:fill="FEE2E2" w:val="clear"/>
            <w:tcMar>
              <w:top w:type="dxa" w:w="50"/>
              <w:left w:type="dxa" w:w="90"/>
              <w:bottom w:type="dxa" w:w="50"/>
              <w:right w:type="dxa" w:w="90"/>
            </w:tcMar>
          </w:tcPr>
          <w:p>
            <w:pPr>
              <w:spacing w:before="15" w:after="15"/>
            </w:pPr>
            <w:r>
              <w:rPr>
                <w:rFonts w:ascii="Arial" w:cs="Arial" w:eastAsia="Arial" w:hAnsi="Arial"/>
                <w:sz w:val="13"/>
                <w:szCs w:val="13"/>
              </w:rPr>
              <w:t xml:space="preserve">• Rentabilidad máxima limitada por naturaleza defensiva</w:t>
            </w:r>
          </w:p>
          <w:p>
            <w:pPr>
              <w:spacing w:before="15" w:after="15"/>
            </w:pPr>
            <w:r>
              <w:rPr>
                <w:rFonts w:ascii="Arial" w:cs="Arial" w:eastAsia="Arial" w:hAnsi="Arial"/>
                <w:sz w:val="13"/>
                <w:szCs w:val="13"/>
              </w:rPr>
              <w:t xml:space="preserve">• Concentración en bonos alemanes corto plazo</w:t>
            </w:r>
          </w:p>
          <w:p>
            <w:pPr>
              <w:spacing w:before="15" w:after="15"/>
            </w:pPr>
            <w:r>
              <w:rPr>
                <w:rFonts w:ascii="Arial" w:cs="Arial" w:eastAsia="Arial" w:hAnsi="Arial"/>
                <w:sz w:val="13"/>
                <w:szCs w:val="13"/>
              </w:rPr>
              <w:t xml:space="preserve">• Base reducida (1.239 partícipes): fondo de nicho</w:t>
            </w:r>
          </w:p>
          <w:p>
            <w:pPr>
              <w:spacing w:before="15" w:after="15"/>
            </w:pPr>
            <w:r>
              <w:rPr>
                <w:rFonts w:ascii="Arial" w:cs="Arial" w:eastAsia="Arial" w:hAnsi="Arial"/>
                <w:sz w:val="13"/>
                <w:szCs w:val="13"/>
              </w:rPr>
              <w:t xml:space="preserve">• Dependencia de F.G. Paramés (riesgo gestor clave)</w:t>
            </w:r>
          </w:p>
        </w:tc>
      </w:tr>
    </w:tbl>
    <w:p>
      <w:pPr>
        <w:spacing w:before="36" w:after="16"/>
      </w:pPr>
      <w:r>
        <w:rPr>
          <w:rFonts w:ascii="Arial" w:cs="Arial" w:eastAsia="Arial" w:hAnsi="Arial"/>
          <w:b/>
          <w:bCs/>
          <w:color w:val="1B3A6B"/>
          <w:sz w:val="13"/>
          <w:szCs w:val="13"/>
        </w:rPr>
        <w:t xml:space="preserve">PRINCIPALES POSICIONES Y VALORACIÓN ANALÍTICA</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4195"/>
        <w:gridCol w:w="6845"/>
      </w:tblGrid>
      <w:tr>
        <w:tc>
          <w:tcPr>
            <w:tcBorders>
              <w:top w:val="single" w:color="CCCCCC" w:sz="4"/>
              <w:left w:val="single" w:color="CCCCCC" w:sz="4"/>
              <w:bottom w:val="single" w:color="CCCCCC" w:sz="4"/>
              <w:right w:val="single" w:color="CCCCCC" w:sz="4"/>
            </w:tcBorders>
            <w:shd w:fill="F2F4F7" w:val="clear"/>
            <w:tcMar>
              <w:top w:type="dxa" w:w="50"/>
              <w:left w:type="dxa" w:w="100"/>
              <w:bottom w:type="dxa" w:w="50"/>
              <w:right w:type="dxa" w:w="100"/>
            </w:tcMar>
          </w:tcPr>
          <w:p>
            <w:pPr>
              <w:spacing w:before="15" w:after="20"/>
            </w:pPr>
            <w:r>
              <w:rPr>
                <w:rFonts w:ascii="Arial" w:cs="Arial" w:eastAsia="Arial" w:hAnsi="Arial"/>
                <w:b/>
                <w:bCs/>
                <w:color w:val="1B3A6B"/>
                <w:sz w:val="14"/>
                <w:szCs w:val="14"/>
              </w:rPr>
              <w:t xml:space="preserve">TOP 5 POSICIONES</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Bonos Alemania 0-3 años (~55%)</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Golar LNG acciones (2,9%)</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Panoro Energy acciones (2,1%)</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Bonos BBVA México (1,8%)</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Depósitos y liquidez (28%)</w:t>
            </w:r>
          </w:p>
        </w:tc>
        <w:tc>
          <w:tcPr>
            <w:tcBorders>
              <w:top w:val="single" w:color="CCCCCC" w:sz="4"/>
              <w:left w:val="single" w:color="CCCCCC" w:sz="4"/>
              <w:bottom w:val="single" w:color="CCCCCC" w:sz="4"/>
              <w:right w:val="single" w:color="CCCCCC" w:sz="4"/>
            </w:tcBorders>
            <w:shd w:fill="FFF8E7" w:val="clear"/>
            <w:tcMar>
              <w:top w:type="dxa" w:w="50"/>
              <w:left w:type="dxa" w:w="100"/>
              <w:bottom w:type="dxa" w:w="50"/>
              <w:right w:type="dxa" w:w="100"/>
            </w:tcMar>
          </w:tcPr>
          <w:p>
            <w:pPr>
              <w:spacing w:before="15" w:after="15"/>
            </w:pPr>
            <w:r>
              <w:rPr>
                <w:rFonts w:ascii="Arial" w:cs="Arial" w:eastAsia="Arial" w:hAnsi="Arial"/>
                <w:b/>
                <w:bCs/>
                <w:color w:val="1B3A6B"/>
                <w:sz w:val="14"/>
                <w:szCs w:val="14"/>
              </w:rPr>
              <w:t xml:space="preserve">ESTRATEGIA Y VALORACIÓN ANALÍTICA</w:t>
            </w:r>
          </w:p>
          <w:p>
            <w:pPr>
              <w:spacing w:before="0" w:after="15"/>
              <w:jc w:val="both"/>
            </w:pPr>
            <w:r>
              <w:rPr>
                <w:rFonts w:ascii="Arial" w:cs="Arial" w:eastAsia="Arial" w:hAnsi="Arial"/>
                <w:sz w:val="13"/>
                <w:szCs w:val="13"/>
              </w:rPr>
              <w:t xml:space="preserve">Máx 15% RV + mín 85% RF/liquidez. RF duración &lt;2 años. Filosofía value de F.G.Paramés. Protección máxima ante tipos de interés.</w:t>
            </w:r>
          </w:p>
          <w:p>
            <w:pPr>
              <w:spacing w:before="8" w:after="8"/>
            </w:pPr>
            <w:r>
              <w:rPr>
                <w:rFonts w:ascii="Arial" w:cs="Arial" w:eastAsia="Arial" w:hAnsi="Arial"/>
                <w:b/>
                <w:bCs/>
                <w:sz w:val="13"/>
                <w:szCs w:val="13"/>
              </w:rPr>
              <w:t xml:space="preserve">Rentabilidad esperada neta: </w:t>
            </w:r>
            <w:r>
              <w:rPr>
                <w:rFonts w:ascii="Arial" w:cs="Arial" w:eastAsia="Arial" w:hAnsi="Arial"/>
                <w:b/>
                <w:bCs/>
                <w:color w:val="1A7A4A"/>
                <w:sz w:val="13"/>
                <w:szCs w:val="13"/>
              </w:rPr>
              <w:t xml:space="preserve">5% – 7% neto/año</w:t>
            </w:r>
          </w:p>
          <w:p>
            <w:pPr>
              <w:spacing w:before="5" w:after="0"/>
              <w:jc w:val="both"/>
            </w:pPr>
            <w:r>
              <w:rPr>
                <w:rFonts w:ascii="Arial" w:cs="Arial" w:eastAsia="Arial" w:hAnsi="Arial"/>
                <w:i/>
                <w:iCs/>
                <w:color w:val="4A4A4A"/>
                <w:sz w:val="12"/>
                <w:szCs w:val="12"/>
              </w:rPr>
              <w:t xml:space="preserve">El mejor defensivo del universo: TER mínimo, positivo en 2022, Sharpe 1,25 y alfa positivo sostenido. Eficiencia en costes que se traduce directamente en rentabilidad neta superior.</w:t>
            </w:r>
          </w:p>
        </w:tc>
      </w:tr>
    </w:tbl>
    <w:p>
      <w:pPr>
        <w:spacing w:before="36" w:after="16"/>
      </w:pPr>
      <w:r>
        <w:rPr>
          <w:rFonts w:ascii="Arial" w:cs="Arial" w:eastAsia="Arial" w:hAnsi="Arial"/>
          <w:b/>
          <w:bCs/>
          <w:color w:val="1B3A6B"/>
          <w:sz w:val="13"/>
          <w:szCs w:val="13"/>
        </w:rPr>
        <w:t xml:space="preserve">OBJETIVO DE LA INVERSIÓN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40"/>
      </w:tblGrid>
      <w:tr>
        <w:tc>
          <w:tcPr>
            <w:tcBorders>
              <w:top w:val="single" w:color="9999CC" w:sz="4"/>
              <w:left w:val="single" w:color="9999CC" w:sz="4"/>
              <w:bottom w:val="single" w:color="9999CC" w:sz="4"/>
              <w:right w:val="single" w:color="9999CC" w:sz="4"/>
            </w:tcBorders>
            <w:shd w:fill="EDE9FE" w:val="clear"/>
            <w:tcMar>
              <w:top w:type="dxa" w:w="55"/>
              <w:left w:type="dxa" w:w="130"/>
              <w:bottom w:type="dxa" w:w="55"/>
              <w:right w:type="dxa" w:w="130"/>
            </w:tcMar>
          </w:tcPr>
          <w:p>
            <w:pPr>
              <w:spacing w:before="10" w:after="15"/>
            </w:pPr>
            <w:r>
              <w:rPr>
                <w:rFonts w:ascii="Arial" w:cs="Arial" w:eastAsia="Arial" w:hAnsi="Arial"/>
                <w:b/>
                <w:bCs/>
                <w:color w:val="6D28D9"/>
                <w:sz w:val="14"/>
                <w:szCs w:val="14"/>
              </w:rPr>
              <w:t xml:space="preserve">🎯  OBJETIVO DE LA INVERSIÓN</w:t>
            </w:r>
          </w:p>
          <w:p>
            <w:pPr>
              <w:spacing w:before="0" w:after="0"/>
              <w:jc w:val="both"/>
            </w:pPr>
            <w:r>
              <w:rPr>
                <w:rFonts w:ascii="Arial" w:cs="Arial" w:eastAsia="Arial" w:hAnsi="Arial"/>
                <w:color w:val="4A4A4A"/>
                <w:sz w:val="13"/>
                <w:szCs w:val="13"/>
              </w:rPr>
              <w:t xml:space="preserve">Obtener una rentabilidad satisfactoria y sostenida en el tiempo, aplicando una filosofía de inversión en valor: selección de activos infravalorados por el mercado con alto potencial de revalorización. Invierte hasta el 15% en renta variable (cualquier país, incluidos emergentes, cualquier capitalización) y el resto en renta fija principalmente pública de emisores/mercados de la UE, aunque también privada. La duración media de la cartera de RF será inferior a 2 años, con vencimiento máximo de 6 años para los activos de RF. Riesgo divisa máximo del 25% de la exposición total. Benchmark comparativo: €STR (tipo de interés a corto plazo del euro). (Fuente: Cobas AM / CNMV)</w:t>
            </w:r>
          </w:p>
        </w:tc>
      </w:tr>
    </w:tbl>
    <w:p>
      <w:r>
        <w:br w:type="page"/>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728"/>
        <w:gridCol w:w="3312"/>
      </w:tblGrid>
      <w:tr>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40" w:after="20"/>
            </w:pPr>
            <w:r>
              <w:rPr>
                <w:rFonts w:ascii="Arial" w:cs="Arial" w:eastAsia="Arial" w:hAnsi="Arial"/>
                <w:b/>
                <w:bCs/>
                <w:color w:val="FFFFFF"/>
                <w:sz w:val="22"/>
                <w:szCs w:val="22"/>
              </w:rPr>
              <w:t xml:space="preserve">3. Myinvestor Cartera Permanente FI</w:t>
            </w:r>
          </w:p>
          <w:p>
            <w:pPr>
              <w:spacing w:before="0" w:after="30"/>
            </w:pPr>
            <w:r>
              <w:rPr>
                <w:rFonts w:ascii="Arial" w:cs="Arial" w:eastAsia="Arial" w:hAnsi="Arial"/>
                <w:color w:val="CCDDFF"/>
                <w:sz w:val="14"/>
                <w:szCs w:val="14"/>
              </w:rPr>
              <w:t xml:space="preserve">ISIN: ES0156572002  ·  Mixto Defensivo EUR Global  ·  SRRI: 4/7</w:t>
            </w:r>
          </w:p>
        </w:tc>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30" w:after="10"/>
              <w:jc w:val="center"/>
            </w:pPr>
            <w:r>
              <w:rPr>
                <w:rFonts w:ascii="Arial" w:cs="Arial" w:eastAsia="Arial" w:hAnsi="Arial"/>
                <w:color w:val="CCDDFF"/>
                <w:sz w:val="14"/>
                <w:szCs w:val="14"/>
              </w:rPr>
              <w:t xml:space="preserve">Mi Valoración</w:t>
            </w:r>
          </w:p>
          <w:p>
            <w:pPr>
              <w:spacing w:before="0" w:after="10"/>
              <w:jc w:val="center"/>
            </w:pPr>
            <w:r>
              <w:rPr>
                <w:rFonts w:ascii="Arial" w:cs="Arial" w:eastAsia="Arial" w:hAnsi="Arial"/>
                <w:color w:val="FFD700"/>
                <w:sz w:val="28"/>
                <w:szCs w:val="28"/>
              </w:rPr>
              <w:t xml:space="preserve">★★★☆☆</w:t>
            </w:r>
          </w:p>
          <w:p>
            <w:pPr>
              <w:spacing w:before="0" w:after="30"/>
              <w:jc w:val="center"/>
            </w:pPr>
            <w:r>
              <w:rPr>
                <w:rFonts w:ascii="Arial" w:cs="Arial" w:eastAsia="Arial" w:hAnsi="Arial"/>
                <w:i/>
                <w:iCs/>
                <w:color w:val="AABBDD"/>
                <w:sz w:val="12"/>
                <w:szCs w:val="12"/>
              </w:rPr>
              <w:t xml:space="preserve">Sin Medalist</w:t>
            </w:r>
          </w:p>
        </w:tc>
      </w:tr>
    </w:tbl>
    <w:p>
      <w:pPr>
        <w:spacing w:before="46" w:after="32"/>
      </w:pP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2700"/>
        <w:gridCol w:w="1000"/>
        <w:gridCol w:w="2100"/>
        <w:gridCol w:w="780"/>
        <w:gridCol w:w="1100"/>
        <w:gridCol w:w="640"/>
        <w:gridCol w:w="52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Gestora</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Andbank Wealth Management SGIIC S.A.U.</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Gestor/es</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Rafael Ortega + Carlos Santiso</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Inicio</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2"/>
                <w:szCs w:val="12"/>
              </w:rPr>
              <w:t xml:space="preserve">22 septiembre 2017</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TER</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1,08%</w:t>
            </w:r>
          </w:p>
        </w:tc>
      </w:tr>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Patrimonio</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93,35 M€</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Partícipes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n.d. (fusión Icaria CP 2024)</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MS★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D97706"/>
                <w:sz w:val="14"/>
                <w:szCs w:val="14"/>
              </w:rPr>
              <w:t xml:space="preserv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Beta</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1,16</w:t>
            </w:r>
          </w:p>
        </w:tc>
      </w:tr>
    </w:tbl>
    <w:p>
      <w:pPr>
        <w:spacing w:before="36" w:after="16"/>
      </w:pPr>
      <w:r>
        <w:rPr>
          <w:rFonts w:ascii="Arial" w:cs="Arial" w:eastAsia="Arial" w:hAnsi="Arial"/>
          <w:b/>
          <w:bCs/>
          <w:color w:val="1B3A6B"/>
          <w:sz w:val="13"/>
          <w:szCs w:val="13"/>
        </w:rPr>
        <w:t xml:space="preserve">RENTABILIDADES HISTÓRICAS Y MÉTRICAS DE RIESGO</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1100"/>
        <w:gridCol w:w="1100"/>
        <w:gridCol w:w="1300"/>
        <w:gridCol w:w="1100"/>
        <w:gridCol w:w="1200"/>
        <w:gridCol w:w="1400"/>
        <w:gridCol w:w="700"/>
        <w:gridCol w:w="640"/>
        <w:gridCol w:w="700"/>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1 año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3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5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2022</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2023</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2024</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Volatilidad</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Sharpe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Alfa</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+11,79%</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+9,80%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4A4A4A"/>
                <w:sz w:val="14"/>
                <w:szCs w:val="14"/>
              </w:rPr>
              <w:t xml:space="preserve">+4,88%</w:t>
            </w:r>
          </w:p>
        </w:tc>
        <w:tc>
          <w:tcPr>
            <w:tcBorders>
              <w:top w:val="single" w:color="CCCCCC" w:sz="4"/>
              <w:left w:val="single" w:color="CCCCCC" w:sz="4"/>
              <w:bottom w:val="single" w:color="CCCCCC" w:sz="4"/>
              <w:right w:val="single" w:color="CCCCCC"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-12,76%</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+7,40%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+14,82%</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5,75%</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4A4A4A"/>
                <w:sz w:val="14"/>
                <w:szCs w:val="14"/>
              </w:rPr>
              <w:t xml:space="preserve">1.16</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+4,76</w:t>
            </w:r>
          </w:p>
        </w:tc>
      </w:tr>
    </w:tbl>
    <w:p>
      <w:pPr>
        <w:spacing w:before="36" w:after="16"/>
      </w:pPr>
      <w:r>
        <w:rPr>
          <w:rFonts w:ascii="Arial" w:cs="Arial" w:eastAsia="Arial" w:hAnsi="Arial"/>
          <w:b/>
          <w:bCs/>
          <w:color w:val="1B3A6B"/>
          <w:sz w:val="13"/>
          <w:szCs w:val="13"/>
        </w:rPr>
        <w:t xml:space="preserve">DISTRIBUCIÓN DE ACTIVOS · RF LARGO PLAZO · METALES PRECIOSOS</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20"/>
        <w:gridCol w:w="780"/>
        <w:gridCol w:w="720"/>
        <w:gridCol w:w="780"/>
        <w:gridCol w:w="720"/>
        <w:gridCol w:w="780"/>
        <w:gridCol w:w="820"/>
        <w:gridCol w:w="1600"/>
        <w:gridCol w:w="820"/>
        <w:gridCol w:w="160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RV</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22,1%</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RF</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44,8%</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Cash</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RF Largo Plazo</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~85% (soberanos largos)</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Metales Prec.</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~30% (oro físico ETCs)</w:t>
            </w:r>
          </w:p>
        </w:tc>
      </w:tr>
    </w:tbl>
    <w:p>
      <w:pPr>
        <w:spacing w:before="36" w:after="16"/>
      </w:pPr>
      <w:r>
        <w:rPr>
          <w:rFonts w:ascii="Arial" w:cs="Arial" w:eastAsia="Arial" w:hAnsi="Arial"/>
          <w:b/>
          <w:bCs/>
          <w:color w:val="1B3A6B"/>
          <w:sz w:val="13"/>
          <w:szCs w:val="13"/>
        </w:rPr>
        <w:t xml:space="preserve">DISTRIBUCIÓN SECTORIAL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208"/>
        <w:gridCol w:w="2208"/>
        <w:gridCol w:w="2208"/>
        <w:gridCol w:w="2208"/>
        <w:gridCol w:w="2208"/>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Tecnología</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Salud</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Cons. Defensivo</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Financiero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Industria+Otros</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22%</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18%</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16%</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12%</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32%</w:t>
            </w:r>
          </w:p>
        </w:tc>
      </w:tr>
    </w:tbl>
    <w:p>
      <w:pPr>
        <w:spacing w:before="36" w:after="16"/>
      </w:pPr>
      <w:r>
        <w:rPr>
          <w:rFonts w:ascii="Arial" w:cs="Arial" w:eastAsia="Arial" w:hAnsi="Arial"/>
          <w:b/>
          <w:bCs/>
          <w:color w:val="1B3A6B"/>
          <w:sz w:val="13"/>
          <w:szCs w:val="13"/>
        </w:rPr>
        <w:t xml:space="preserve">DISTRIBUCIÓN REGIONAL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760"/>
        <w:gridCol w:w="2760"/>
        <w:gridCol w:w="2760"/>
        <w:gridCol w:w="2760"/>
      </w:tblGrid>
      <w:tr>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Norteamérica</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Europa</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Asia-Pacífico</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Emergentes</w:t>
            </w:r>
          </w:p>
        </w:tc>
      </w:tr>
      <w:tr>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40%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30%</w:t>
            </w:r>
          </w:p>
        </w:tc>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15%</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15%</w:t>
            </w:r>
          </w:p>
        </w:tc>
      </w:tr>
    </w:tbl>
    <w:p>
      <w:pPr>
        <w:spacing w:before="36" w:after="16"/>
      </w:pPr>
      <w:r>
        <w:rPr>
          <w:rFonts w:ascii="Arial" w:cs="Arial" w:eastAsia="Arial" w:hAnsi="Arial"/>
          <w:b/>
          <w:bCs/>
          <w:color w:val="1B3A6B"/>
          <w:sz w:val="13"/>
          <w:szCs w:val="13"/>
        </w:rPr>
        <w:t xml:space="preserve">FORTALEZAS Y PUNTOS DE ATENCIÓN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5520"/>
        <w:gridCol w:w="5520"/>
      </w:tblGrid>
      <w:tr>
        <w:tc>
          <w:tcPr>
            <w:tcBorders>
              <w:top w:val="single" w:color="1A7A4A" w:sz="4"/>
              <w:left w:val="single" w:color="1A7A4A" w:sz="4"/>
              <w:bottom w:val="single" w:color="1A7A4A" w:sz="4"/>
              <w:right w:val="single" w:color="1A7A4A" w:sz="4"/>
            </w:tcBorders>
            <w:shd w:fill="1A7A4A"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FORTALEZAS</w:t>
            </w:r>
          </w:p>
        </w:tc>
        <w:tc>
          <w:tcPr>
            <w:tcBorders>
              <w:top w:val="single" w:color="C0392B" w:sz="4"/>
              <w:left w:val="single" w:color="C0392B" w:sz="4"/>
              <w:bottom w:val="single" w:color="C0392B" w:sz="4"/>
              <w:right w:val="single" w:color="C0392B" w:sz="4"/>
            </w:tcBorders>
            <w:shd w:fill="C0392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PUNTOS DE ATENCIÓN</w:t>
            </w:r>
          </w:p>
        </w:tc>
      </w:tr>
      <w:tr>
        <w:tc>
          <w:tcPr>
            <w:tcBorders>
              <w:top w:val="single" w:color="AAAAAA" w:sz="4"/>
              <w:left w:val="single" w:color="AAAAAA" w:sz="4"/>
              <w:bottom w:val="single" w:color="AAAAAA" w:sz="4"/>
              <w:right w:val="single" w:color="AAAAAA" w:sz="4"/>
            </w:tcBorders>
            <w:shd w:fill="D1FAE5" w:val="clear"/>
            <w:tcMar>
              <w:top w:type="dxa" w:w="50"/>
              <w:left w:type="dxa" w:w="90"/>
              <w:bottom w:type="dxa" w:w="50"/>
              <w:right w:type="dxa" w:w="90"/>
            </w:tcMar>
          </w:tcPr>
          <w:p>
            <w:pPr>
              <w:spacing w:before="15" w:after="15"/>
            </w:pPr>
            <w:r>
              <w:rPr>
                <w:rFonts w:ascii="Arial" w:cs="Arial" w:eastAsia="Arial" w:hAnsi="Arial"/>
                <w:sz w:val="13"/>
                <w:szCs w:val="13"/>
              </w:rPr>
              <w:t xml:space="preserve">• MAYOR ALFA del universo (+4,76): generación de valor excepcional</w:t>
            </w:r>
          </w:p>
          <w:p>
            <w:pPr>
              <w:spacing w:before="15" w:after="15"/>
            </w:pPr>
            <w:r>
              <w:rPr>
                <w:rFonts w:ascii="Arial" w:cs="Arial" w:eastAsia="Arial" w:hAnsi="Arial"/>
                <w:sz w:val="13"/>
                <w:szCs w:val="13"/>
              </w:rPr>
              <w:t xml:space="preserve">• Filosofía Harry Browne probada durante 50 años</w:t>
            </w:r>
          </w:p>
          <w:p>
            <w:pPr>
              <w:spacing w:before="15" w:after="15"/>
            </w:pPr>
            <w:r>
              <w:rPr>
                <w:rFonts w:ascii="Arial" w:cs="Arial" w:eastAsia="Arial" w:hAnsi="Arial"/>
                <w:sz w:val="13"/>
                <w:szCs w:val="13"/>
              </w:rPr>
              <w:t xml:space="preserve">• Gran cobertura de inflación y geopolítica vía oro (~30%)</w:t>
            </w:r>
          </w:p>
          <w:p>
            <w:pPr>
              <w:spacing w:before="15" w:after="15"/>
            </w:pPr>
            <w:r>
              <w:rPr>
                <w:rFonts w:ascii="Arial" w:cs="Arial" w:eastAsia="Arial" w:hAnsi="Arial"/>
                <w:sz w:val="13"/>
                <w:szCs w:val="13"/>
              </w:rPr>
              <w:t xml:space="preserve">• Co-gestión Ortega+Santiso: equipo sólido y experimentado</w:t>
            </w:r>
          </w:p>
          <w:p>
            <w:pPr>
              <w:spacing w:before="15" w:after="15"/>
            </w:pPr>
            <w:r>
              <w:rPr>
                <w:rFonts w:ascii="Arial" w:cs="Arial" w:eastAsia="Arial" w:hAnsi="Arial"/>
                <w:sz w:val="13"/>
                <w:szCs w:val="13"/>
              </w:rPr>
              <w:t xml:space="preserve">• Recuperación sólida: +7,4% (2023) y +14,82% (2024)</w:t>
            </w:r>
          </w:p>
        </w:tc>
        <w:tc>
          <w:tcPr>
            <w:tcBorders>
              <w:top w:val="single" w:color="AAAAAA" w:sz="4"/>
              <w:left w:val="single" w:color="AAAAAA" w:sz="4"/>
              <w:bottom w:val="single" w:color="AAAAAA" w:sz="4"/>
              <w:right w:val="single" w:color="AAAAAA" w:sz="4"/>
            </w:tcBorders>
            <w:shd w:fill="FEE2E2" w:val="clear"/>
            <w:tcMar>
              <w:top w:type="dxa" w:w="50"/>
              <w:left w:type="dxa" w:w="90"/>
              <w:bottom w:type="dxa" w:w="50"/>
              <w:right w:type="dxa" w:w="90"/>
            </w:tcMar>
          </w:tcPr>
          <w:p>
            <w:pPr>
              <w:spacing w:before="15" w:after="15"/>
            </w:pPr>
            <w:r>
              <w:rPr>
                <w:rFonts w:ascii="Arial" w:cs="Arial" w:eastAsia="Arial" w:hAnsi="Arial"/>
                <w:sz w:val="13"/>
                <w:szCs w:val="13"/>
              </w:rPr>
              <w:t xml:space="preserve">• Peor 2022 de defensivos (-12,76%): caída excesiva para su categoría</w:t>
            </w:r>
          </w:p>
          <w:p>
            <w:pPr>
              <w:spacing w:before="15" w:after="15"/>
            </w:pPr>
            <w:r>
              <w:rPr>
                <w:rFonts w:ascii="Arial" w:cs="Arial" w:eastAsia="Arial" w:hAnsi="Arial"/>
                <w:sz w:val="13"/>
                <w:szCs w:val="13"/>
              </w:rPr>
              <w:t xml:space="preserve">• Beta 1,16: más volátil que el índice, paradójico para 'defensivo'</w:t>
            </w:r>
          </w:p>
          <w:p>
            <w:pPr>
              <w:spacing w:before="15" w:after="15"/>
            </w:pPr>
            <w:r>
              <w:rPr>
                <w:rFonts w:ascii="Arial" w:cs="Arial" w:eastAsia="Arial" w:hAnsi="Arial"/>
                <w:sz w:val="13"/>
                <w:szCs w:val="13"/>
              </w:rPr>
              <w:t xml:space="preserve">• TER 1,08%: moderadamente alto para gestión cuasi-pasiva</w:t>
            </w:r>
          </w:p>
          <w:p>
            <w:pPr>
              <w:spacing w:before="15" w:after="15"/>
            </w:pPr>
            <w:r>
              <w:rPr>
                <w:rFonts w:ascii="Arial" w:cs="Arial" w:eastAsia="Arial" w:hAnsi="Arial"/>
                <w:sz w:val="13"/>
                <w:szCs w:val="13"/>
              </w:rPr>
              <w:t xml:space="preserve">• Rentabilidad 5 años (4,88%) lastra el historial largo</w:t>
            </w:r>
          </w:p>
        </w:tc>
      </w:tr>
    </w:tbl>
    <w:p>
      <w:pPr>
        <w:spacing w:before="36" w:after="16"/>
      </w:pPr>
      <w:r>
        <w:rPr>
          <w:rFonts w:ascii="Arial" w:cs="Arial" w:eastAsia="Arial" w:hAnsi="Arial"/>
          <w:b/>
          <w:bCs/>
          <w:color w:val="1B3A6B"/>
          <w:sz w:val="13"/>
          <w:szCs w:val="13"/>
        </w:rPr>
        <w:t xml:space="preserve">PRINCIPALES POSICIONES Y VALORACIÓN ANALÍTICA</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4195"/>
        <w:gridCol w:w="6845"/>
      </w:tblGrid>
      <w:tr>
        <w:tc>
          <w:tcPr>
            <w:tcBorders>
              <w:top w:val="single" w:color="CCCCCC" w:sz="4"/>
              <w:left w:val="single" w:color="CCCCCC" w:sz="4"/>
              <w:bottom w:val="single" w:color="CCCCCC" w:sz="4"/>
              <w:right w:val="single" w:color="CCCCCC" w:sz="4"/>
            </w:tcBorders>
            <w:shd w:fill="F2F4F7" w:val="clear"/>
            <w:tcMar>
              <w:top w:type="dxa" w:w="50"/>
              <w:left w:type="dxa" w:w="100"/>
              <w:bottom w:type="dxa" w:w="50"/>
              <w:right w:type="dxa" w:w="100"/>
            </w:tcMar>
          </w:tcPr>
          <w:p>
            <w:pPr>
              <w:spacing w:before="15" w:after="20"/>
            </w:pPr>
            <w:r>
              <w:rPr>
                <w:rFonts w:ascii="Arial" w:cs="Arial" w:eastAsia="Arial" w:hAnsi="Arial"/>
                <w:b/>
                <w:bCs/>
                <w:color w:val="1B3A6B"/>
                <w:sz w:val="14"/>
                <w:szCs w:val="14"/>
              </w:rPr>
              <w:t xml:space="preserve">TOP 5 POSICIONES</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Bonos España soberano largo (~20%)</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Oro físico ETCs WisdomTree (~15%)</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Oro ETCs Invesco (~10%)</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Oro ETCs iShares (~8%)</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RV global diversificada (~22%)</w:t>
            </w:r>
          </w:p>
        </w:tc>
        <w:tc>
          <w:tcPr>
            <w:tcBorders>
              <w:top w:val="single" w:color="CCCCCC" w:sz="4"/>
              <w:left w:val="single" w:color="CCCCCC" w:sz="4"/>
              <w:bottom w:val="single" w:color="CCCCCC" w:sz="4"/>
              <w:right w:val="single" w:color="CCCCCC" w:sz="4"/>
            </w:tcBorders>
            <w:shd w:fill="FFF8E7" w:val="clear"/>
            <w:tcMar>
              <w:top w:type="dxa" w:w="50"/>
              <w:left w:type="dxa" w:w="100"/>
              <w:bottom w:type="dxa" w:w="50"/>
              <w:right w:type="dxa" w:w="100"/>
            </w:tcMar>
          </w:tcPr>
          <w:p>
            <w:pPr>
              <w:spacing w:before="15" w:after="15"/>
            </w:pPr>
            <w:r>
              <w:rPr>
                <w:rFonts w:ascii="Arial" w:cs="Arial" w:eastAsia="Arial" w:hAnsi="Arial"/>
                <w:b/>
                <w:bCs/>
                <w:color w:val="1B3A6B"/>
                <w:sz w:val="14"/>
                <w:szCs w:val="14"/>
              </w:rPr>
              <w:t xml:space="preserve">ESTRATEGIA Y VALORACIÓN ANALÍTICA</w:t>
            </w:r>
          </w:p>
          <w:p>
            <w:pPr>
              <w:spacing w:before="0" w:after="15"/>
              <w:jc w:val="both"/>
            </w:pPr>
            <w:r>
              <w:rPr>
                <w:rFonts w:ascii="Arial" w:cs="Arial" w:eastAsia="Arial" w:hAnsi="Arial"/>
                <w:sz w:val="13"/>
                <w:szCs w:val="13"/>
              </w:rPr>
              <w:t xml:space="preserve">Filosofía Harry Browne: ~25% acciones, ~25% RF larga, ~25% oro, ~25% cash. Gestión cuasi-pasiva. Fusionó con Icaria CP en 2024.</w:t>
            </w:r>
          </w:p>
          <w:p>
            <w:pPr>
              <w:spacing w:before="8" w:after="8"/>
            </w:pPr>
            <w:r>
              <w:rPr>
                <w:rFonts w:ascii="Arial" w:cs="Arial" w:eastAsia="Arial" w:hAnsi="Arial"/>
                <w:b/>
                <w:bCs/>
                <w:sz w:val="13"/>
                <w:szCs w:val="13"/>
              </w:rPr>
              <w:t xml:space="preserve">Rentabilidad esperada neta: </w:t>
            </w:r>
            <w:r>
              <w:rPr>
                <w:rFonts w:ascii="Arial" w:cs="Arial" w:eastAsia="Arial" w:hAnsi="Arial"/>
                <w:b/>
                <w:bCs/>
                <w:color w:val="1A7A4A"/>
                <w:sz w:val="13"/>
                <w:szCs w:val="13"/>
              </w:rPr>
              <w:t xml:space="preserve">5% – 9% neto/año</w:t>
            </w:r>
          </w:p>
          <w:p>
            <w:pPr>
              <w:spacing w:before="5" w:after="0"/>
              <w:jc w:val="both"/>
            </w:pPr>
            <w:r>
              <w:rPr>
                <w:rFonts w:ascii="Arial" w:cs="Arial" w:eastAsia="Arial" w:hAnsi="Arial"/>
                <w:i/>
                <w:iCs/>
                <w:color w:val="4A4A4A"/>
                <w:sz w:val="12"/>
                <w:szCs w:val="12"/>
              </w:rPr>
              <w:t xml:space="preserve">Filosofía probada y alfa excelente, pero -12,76% en 2022 es excesivo para categoría defensiva. Requiere horizonte largo y tolerancia a volatilidad real mayor que la nominal.</w:t>
            </w:r>
          </w:p>
        </w:tc>
      </w:tr>
    </w:tbl>
    <w:p>
      <w:pPr>
        <w:spacing w:before="36" w:after="16"/>
      </w:pPr>
      <w:r>
        <w:rPr>
          <w:rFonts w:ascii="Arial" w:cs="Arial" w:eastAsia="Arial" w:hAnsi="Arial"/>
          <w:b/>
          <w:bCs/>
          <w:color w:val="1B3A6B"/>
          <w:sz w:val="13"/>
          <w:szCs w:val="13"/>
        </w:rPr>
        <w:t xml:space="preserve">OBJETIVO DE LA INVERSIÓN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40"/>
      </w:tblGrid>
      <w:tr>
        <w:tc>
          <w:tcPr>
            <w:tcBorders>
              <w:top w:val="single" w:color="9999CC" w:sz="4"/>
              <w:left w:val="single" w:color="9999CC" w:sz="4"/>
              <w:bottom w:val="single" w:color="9999CC" w:sz="4"/>
              <w:right w:val="single" w:color="9999CC" w:sz="4"/>
            </w:tcBorders>
            <w:shd w:fill="EDE9FE" w:val="clear"/>
            <w:tcMar>
              <w:top w:type="dxa" w:w="55"/>
              <w:left w:type="dxa" w:w="130"/>
              <w:bottom w:type="dxa" w:w="55"/>
              <w:right w:type="dxa" w:w="130"/>
            </w:tcMar>
          </w:tcPr>
          <w:p>
            <w:pPr>
              <w:spacing w:before="10" w:after="15"/>
            </w:pPr>
            <w:r>
              <w:rPr>
                <w:rFonts w:ascii="Arial" w:cs="Arial" w:eastAsia="Arial" w:hAnsi="Arial"/>
                <w:b/>
                <w:bCs/>
                <w:color w:val="6D28D9"/>
                <w:sz w:val="14"/>
                <w:szCs w:val="14"/>
              </w:rPr>
              <w:t xml:space="preserve">🎯  OBJETIVO DE LA INVERSIÓN</w:t>
            </w:r>
          </w:p>
          <w:p>
            <w:pPr>
              <w:spacing w:before="0" w:after="0"/>
              <w:jc w:val="both"/>
            </w:pPr>
            <w:r>
              <w:rPr>
                <w:rFonts w:ascii="Arial" w:cs="Arial" w:eastAsia="Arial" w:hAnsi="Arial"/>
                <w:color w:val="4A4A4A"/>
                <w:sz w:val="13"/>
                <w:szCs w:val="13"/>
              </w:rPr>
              <w:t xml:space="preserve">Invertir siguiendo la filosofía de la Cartera Permanente de Harry Browne con el objetivo de superar la inflación a largo plazo (históricamente 4-5% anual real). Mantiene exposición de 15-35% en RV de cualquier capitalización, 15-35% en ETCs de oro físico, y el resto en RF de al menos media calidad crediticia (mínimo BBB-). Gestión cuasi-pasiva con baja rotación, intentando mantener estable el perfil de riesgo en el tiempo. Volatilidad objetivo máxima anual inferior al 10%. Exposición a riesgo divisa 0-100%. Sin restricciones por tipo de emisor, duración, divisas o sectores. Emisores y mercados OCDE y emergentes sin limitación. Tras la fusión con Icaria Cartera Permanente en 2024, amplía la exposición a todas las áreas geográficas más representativas de la economía mundial y las divisas más sólidas de los últimos 100 años. (Fuente: Andbank / MyInvestor / CNMV)</w:t>
            </w:r>
          </w:p>
        </w:tc>
      </w:tr>
    </w:tbl>
    <w:p>
      <w:r>
        <w:br w:type="page"/>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728"/>
        <w:gridCol w:w="3312"/>
      </w:tblGrid>
      <w:tr>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40" w:after="20"/>
            </w:pPr>
            <w:r>
              <w:rPr>
                <w:rFonts w:ascii="Arial" w:cs="Arial" w:eastAsia="Arial" w:hAnsi="Arial"/>
                <w:b/>
                <w:bCs/>
                <w:color w:val="FFFFFF"/>
                <w:sz w:val="22"/>
                <w:szCs w:val="22"/>
              </w:rPr>
              <w:t xml:space="preserve">4. Baelo Patrimonio FI</w:t>
            </w:r>
          </w:p>
          <w:p>
            <w:pPr>
              <w:spacing w:before="0" w:after="30"/>
            </w:pPr>
            <w:r>
              <w:rPr>
                <w:rFonts w:ascii="Arial" w:cs="Arial" w:eastAsia="Arial" w:hAnsi="Arial"/>
                <w:color w:val="CCDDFF"/>
                <w:sz w:val="14"/>
                <w:szCs w:val="14"/>
              </w:rPr>
              <w:t xml:space="preserve">ISIN: ES0110407097  ·  Mixto Moderado EUR Global  ·  SRRI: 3/7</w:t>
            </w:r>
          </w:p>
        </w:tc>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30" w:after="10"/>
              <w:jc w:val="center"/>
            </w:pPr>
            <w:r>
              <w:rPr>
                <w:rFonts w:ascii="Arial" w:cs="Arial" w:eastAsia="Arial" w:hAnsi="Arial"/>
                <w:color w:val="CCDDFF"/>
                <w:sz w:val="14"/>
                <w:szCs w:val="14"/>
              </w:rPr>
              <w:t xml:space="preserve">Mi Valoración</w:t>
            </w:r>
          </w:p>
          <w:p>
            <w:pPr>
              <w:spacing w:before="0" w:after="10"/>
              <w:jc w:val="center"/>
            </w:pPr>
            <w:r>
              <w:rPr>
                <w:rFonts w:ascii="Arial" w:cs="Arial" w:eastAsia="Arial" w:hAnsi="Arial"/>
                <w:color w:val="FFD700"/>
                <w:sz w:val="28"/>
                <w:szCs w:val="28"/>
              </w:rPr>
              <w:t xml:space="preserve">★★☆☆☆</w:t>
            </w:r>
          </w:p>
          <w:p>
            <w:pPr>
              <w:spacing w:before="0" w:after="30"/>
              <w:jc w:val="center"/>
            </w:pPr>
            <w:r>
              <w:rPr>
                <w:rFonts w:ascii="Arial" w:cs="Arial" w:eastAsia="Arial" w:hAnsi="Arial"/>
                <w:i/>
                <w:iCs/>
                <w:color w:val="AABBDD"/>
                <w:sz w:val="12"/>
                <w:szCs w:val="12"/>
              </w:rPr>
              <w:t xml:space="preserve">Sin Medalist</w:t>
            </w:r>
          </w:p>
        </w:tc>
      </w:tr>
    </w:tbl>
    <w:p>
      <w:pPr>
        <w:spacing w:before="46" w:after="32"/>
      </w:pP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2700"/>
        <w:gridCol w:w="1000"/>
        <w:gridCol w:w="2100"/>
        <w:gridCol w:w="780"/>
        <w:gridCol w:w="1100"/>
        <w:gridCol w:w="640"/>
        <w:gridCol w:w="52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Gestora</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Andbank Wealth Management SGIIC S.A.U.</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Gestor/es</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Antonio Rodríguez Rico</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Inicio</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2"/>
                <w:szCs w:val="12"/>
              </w:rPr>
              <w:t xml:space="preserve">5 marzo 2018</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TER</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0,39%</w:t>
            </w:r>
          </w:p>
        </w:tc>
      </w:tr>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Patrimonio</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86,05 M€ (2025)</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Partícipes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~5.000-6.000 (est.)</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MS★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D97706"/>
                <w:sz w:val="14"/>
                <w:szCs w:val="14"/>
              </w:rPr>
              <w:t xml:space="preserv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Beta</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0,82</w:t>
            </w:r>
          </w:p>
        </w:tc>
      </w:tr>
    </w:tbl>
    <w:p>
      <w:pPr>
        <w:spacing w:before="36" w:after="16"/>
      </w:pPr>
      <w:r>
        <w:rPr>
          <w:rFonts w:ascii="Arial" w:cs="Arial" w:eastAsia="Arial" w:hAnsi="Arial"/>
          <w:b/>
          <w:bCs/>
          <w:color w:val="1B3A6B"/>
          <w:sz w:val="13"/>
          <w:szCs w:val="13"/>
        </w:rPr>
        <w:t xml:space="preserve">RENTABILIDADES HISTÓRICAS Y MÉTRICAS DE RIESGO</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1100"/>
        <w:gridCol w:w="1100"/>
        <w:gridCol w:w="1300"/>
        <w:gridCol w:w="1100"/>
        <w:gridCol w:w="1200"/>
        <w:gridCol w:w="1400"/>
        <w:gridCol w:w="700"/>
        <w:gridCol w:w="640"/>
        <w:gridCol w:w="700"/>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1 año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3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5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2022</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2023</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2024</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Volatilidad</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Sharpe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Alfa</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4A4A4A"/>
                <w:sz w:val="14"/>
                <w:szCs w:val="14"/>
              </w:rPr>
              <w:t xml:space="preserve">+9,94%</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+8,65%</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+6,35%</w:t>
            </w:r>
          </w:p>
        </w:tc>
        <w:tc>
          <w:tcPr>
            <w:tcBorders>
              <w:top w:val="single" w:color="CCCCCC" w:sz="4"/>
              <w:left w:val="single" w:color="CCCCCC" w:sz="4"/>
              <w:bottom w:val="single" w:color="CCCCCC" w:sz="4"/>
              <w:right w:val="single" w:color="CCCCCC"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-8,33%</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+10,43%</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+9,80%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5,77%</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0.7</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-0,44</w:t>
            </w:r>
          </w:p>
        </w:tc>
      </w:tr>
    </w:tbl>
    <w:p>
      <w:pPr>
        <w:spacing w:before="36" w:after="16"/>
      </w:pPr>
      <w:r>
        <w:rPr>
          <w:rFonts w:ascii="Arial" w:cs="Arial" w:eastAsia="Arial" w:hAnsi="Arial"/>
          <w:b/>
          <w:bCs/>
          <w:color w:val="1B3A6B"/>
          <w:sz w:val="13"/>
          <w:szCs w:val="13"/>
        </w:rPr>
        <w:t xml:space="preserve">DISTRIBUCIÓN DE ACTIVOS · RF LARGO PLAZO · METALES PRECIOSOS</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20"/>
        <w:gridCol w:w="780"/>
        <w:gridCol w:w="720"/>
        <w:gridCol w:w="780"/>
        <w:gridCol w:w="720"/>
        <w:gridCol w:w="780"/>
        <w:gridCol w:w="820"/>
        <w:gridCol w:w="1600"/>
        <w:gridCol w:w="820"/>
        <w:gridCol w:w="160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RV</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60,6%</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RF</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30,4%</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Cash</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7,7%</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RF Largo Plazo</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~45% (mix corto-medio Bund)</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Metales Prec.</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0%</w:t>
            </w:r>
          </w:p>
        </w:tc>
      </w:tr>
    </w:tbl>
    <w:p>
      <w:pPr>
        <w:spacing w:before="36" w:after="16"/>
      </w:pPr>
      <w:r>
        <w:rPr>
          <w:rFonts w:ascii="Arial" w:cs="Arial" w:eastAsia="Arial" w:hAnsi="Arial"/>
          <w:b/>
          <w:bCs/>
          <w:color w:val="1B3A6B"/>
          <w:sz w:val="13"/>
          <w:szCs w:val="13"/>
        </w:rPr>
        <w:t xml:space="preserve">DISTRIBUCIÓN SECTORIAL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208"/>
        <w:gridCol w:w="2208"/>
        <w:gridCol w:w="2208"/>
        <w:gridCol w:w="2208"/>
        <w:gridCol w:w="2208"/>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Salud</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Cons. Defensivo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Tecnología</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Industria</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Financiero+Otros</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24%</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20%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16%</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14%</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26%</w:t>
            </w:r>
          </w:p>
        </w:tc>
      </w:tr>
    </w:tbl>
    <w:p>
      <w:pPr>
        <w:spacing w:before="36" w:after="16"/>
      </w:pPr>
      <w:r>
        <w:rPr>
          <w:rFonts w:ascii="Arial" w:cs="Arial" w:eastAsia="Arial" w:hAnsi="Arial"/>
          <w:b/>
          <w:bCs/>
          <w:color w:val="1B3A6B"/>
          <w:sz w:val="13"/>
          <w:szCs w:val="13"/>
        </w:rPr>
        <w:t xml:space="preserve">DISTRIBUCIÓN REGIONAL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760"/>
        <w:gridCol w:w="2760"/>
        <w:gridCol w:w="2760"/>
        <w:gridCol w:w="2760"/>
      </w:tblGrid>
      <w:tr>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Norteamérica</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Europa+UK</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Asia-Pacífico</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Otros/Globales</w:t>
            </w:r>
          </w:p>
        </w:tc>
      </w:tr>
      <w:tr>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33%</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33%</w:t>
            </w:r>
          </w:p>
        </w:tc>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20%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14%</w:t>
            </w:r>
          </w:p>
        </w:tc>
      </w:tr>
    </w:tbl>
    <w:p>
      <w:pPr>
        <w:spacing w:before="36" w:after="16"/>
      </w:pPr>
      <w:r>
        <w:rPr>
          <w:rFonts w:ascii="Arial" w:cs="Arial" w:eastAsia="Arial" w:hAnsi="Arial"/>
          <w:b/>
          <w:bCs/>
          <w:color w:val="1B3A6B"/>
          <w:sz w:val="13"/>
          <w:szCs w:val="13"/>
        </w:rPr>
        <w:t xml:space="preserve">FORTALEZAS Y PUNTOS DE ATENCIÓN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5520"/>
        <w:gridCol w:w="5520"/>
      </w:tblGrid>
      <w:tr>
        <w:tc>
          <w:tcPr>
            <w:tcBorders>
              <w:top w:val="single" w:color="1A7A4A" w:sz="4"/>
              <w:left w:val="single" w:color="1A7A4A" w:sz="4"/>
              <w:bottom w:val="single" w:color="1A7A4A" w:sz="4"/>
              <w:right w:val="single" w:color="1A7A4A" w:sz="4"/>
            </w:tcBorders>
            <w:shd w:fill="1A7A4A"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FORTALEZAS</w:t>
            </w:r>
          </w:p>
        </w:tc>
        <w:tc>
          <w:tcPr>
            <w:tcBorders>
              <w:top w:val="single" w:color="C0392B" w:sz="4"/>
              <w:left w:val="single" w:color="C0392B" w:sz="4"/>
              <w:bottom w:val="single" w:color="C0392B" w:sz="4"/>
              <w:right w:val="single" w:color="C0392B" w:sz="4"/>
            </w:tcBorders>
            <w:shd w:fill="C0392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PUNTOS DE ATENCIÓN</w:t>
            </w:r>
          </w:p>
        </w:tc>
      </w:tr>
      <w:tr>
        <w:tc>
          <w:tcPr>
            <w:tcBorders>
              <w:top w:val="single" w:color="AAAAAA" w:sz="4"/>
              <w:left w:val="single" w:color="AAAAAA" w:sz="4"/>
              <w:bottom w:val="single" w:color="AAAAAA" w:sz="4"/>
              <w:right w:val="single" w:color="AAAAAA" w:sz="4"/>
            </w:tcBorders>
            <w:shd w:fill="D1FAE5" w:val="clear"/>
            <w:tcMar>
              <w:top w:type="dxa" w:w="50"/>
              <w:left w:type="dxa" w:w="90"/>
              <w:bottom w:type="dxa" w:w="50"/>
              <w:right w:type="dxa" w:w="90"/>
            </w:tcMar>
          </w:tcPr>
          <w:p>
            <w:pPr>
              <w:spacing w:before="15" w:after="15"/>
            </w:pPr>
            <w:r>
              <w:rPr>
                <w:rFonts w:ascii="Arial" w:cs="Arial" w:eastAsia="Arial" w:hAnsi="Arial"/>
                <w:sz w:val="13"/>
                <w:szCs w:val="13"/>
              </w:rPr>
              <w:t xml:space="preserve">• TER 0,39%: segundo más bajo del universo (muy eficiente)</w:t>
            </w:r>
          </w:p>
          <w:p>
            <w:pPr>
              <w:spacing w:before="15" w:after="15"/>
            </w:pPr>
            <w:r>
              <w:rPr>
                <w:rFonts w:ascii="Arial" w:cs="Arial" w:eastAsia="Arial" w:hAnsi="Arial"/>
                <w:sz w:val="13"/>
                <w:szCs w:val="13"/>
              </w:rPr>
              <w:t xml:space="preserve">• Gran base de partícipes (~5.000-6.000): fondo muy consolidado</w:t>
            </w:r>
          </w:p>
          <w:p>
            <w:pPr>
              <w:spacing w:before="15" w:after="15"/>
            </w:pPr>
            <w:r>
              <w:rPr>
                <w:rFonts w:ascii="Arial" w:cs="Arial" w:eastAsia="Arial" w:hAnsi="Arial"/>
                <w:sz w:val="13"/>
                <w:szCs w:val="13"/>
              </w:rPr>
              <w:t xml:space="preserve">• Aristócratas del dividendo: calidad empresarial contrastada</w:t>
            </w:r>
          </w:p>
          <w:p>
            <w:pPr>
              <w:spacing w:before="15" w:after="15"/>
            </w:pPr>
            <w:r>
              <w:rPr>
                <w:rFonts w:ascii="Arial" w:cs="Arial" w:eastAsia="Arial" w:hAnsi="Arial"/>
                <w:sz w:val="13"/>
                <w:szCs w:val="13"/>
              </w:rPr>
              <w:t xml:space="preserve">• Diversificación global equilibrada y filosofía clara</w:t>
            </w:r>
          </w:p>
        </w:tc>
        <w:tc>
          <w:tcPr>
            <w:tcBorders>
              <w:top w:val="single" w:color="AAAAAA" w:sz="4"/>
              <w:left w:val="single" w:color="AAAAAA" w:sz="4"/>
              <w:bottom w:val="single" w:color="AAAAAA" w:sz="4"/>
              <w:right w:val="single" w:color="AAAAAA" w:sz="4"/>
            </w:tcBorders>
            <w:shd w:fill="FEE2E2" w:val="clear"/>
            <w:tcMar>
              <w:top w:type="dxa" w:w="50"/>
              <w:left w:type="dxa" w:w="90"/>
              <w:bottom w:type="dxa" w:w="50"/>
              <w:right w:type="dxa" w:w="90"/>
            </w:tcMar>
          </w:tcPr>
          <w:p>
            <w:pPr>
              <w:spacing w:before="15" w:after="15"/>
            </w:pPr>
            <w:r>
              <w:rPr>
                <w:rFonts w:ascii="Arial" w:cs="Arial" w:eastAsia="Arial" w:hAnsi="Arial"/>
                <w:sz w:val="13"/>
                <w:szCs w:val="13"/>
              </w:rPr>
              <w:t xml:space="preserve">• PEOR Sharpe del universo (0,70): rentabilidad/riesgo insuficiente</w:t>
            </w:r>
          </w:p>
          <w:p>
            <w:pPr>
              <w:spacing w:before="15" w:after="15"/>
            </w:pPr>
            <w:r>
              <w:rPr>
                <w:rFonts w:ascii="Arial" w:cs="Arial" w:eastAsia="Arial" w:hAnsi="Arial"/>
                <w:sz w:val="13"/>
                <w:szCs w:val="13"/>
              </w:rPr>
              <w:t xml:space="preserve">• Alfa negativo (-0,44): el gestor no supera al índice de referencia</w:t>
            </w:r>
          </w:p>
          <w:p>
            <w:pPr>
              <w:spacing w:before="15" w:after="15"/>
            </w:pPr>
            <w:r>
              <w:rPr>
                <w:rFonts w:ascii="Arial" w:cs="Arial" w:eastAsia="Arial" w:hAnsi="Arial"/>
                <w:sz w:val="13"/>
                <w:szCs w:val="13"/>
              </w:rPr>
              <w:t xml:space="preserve">• Riesgo gestor clave (fondo de autor): dependencia de A. Rico</w:t>
            </w:r>
          </w:p>
          <w:p>
            <w:pPr>
              <w:spacing w:before="15" w:after="15"/>
            </w:pPr>
            <w:r>
              <w:rPr>
                <w:rFonts w:ascii="Arial" w:cs="Arial" w:eastAsia="Arial" w:hAnsi="Arial"/>
                <w:sz w:val="13"/>
                <w:szCs w:val="13"/>
              </w:rPr>
              <w:t xml:space="preserve">• Modelo 60/40 penalizado en entorno de tipos altos como 2022</w:t>
            </w:r>
          </w:p>
        </w:tc>
      </w:tr>
    </w:tbl>
    <w:p>
      <w:pPr>
        <w:spacing w:before="36" w:after="16"/>
      </w:pPr>
      <w:r>
        <w:rPr>
          <w:rFonts w:ascii="Arial" w:cs="Arial" w:eastAsia="Arial" w:hAnsi="Arial"/>
          <w:b/>
          <w:bCs/>
          <w:color w:val="1B3A6B"/>
          <w:sz w:val="13"/>
          <w:szCs w:val="13"/>
        </w:rPr>
        <w:t xml:space="preserve">PRINCIPALES POSICIONES Y VALORACIÓN ANALÍTICA</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4195"/>
        <w:gridCol w:w="6845"/>
      </w:tblGrid>
      <w:tr>
        <w:tc>
          <w:tcPr>
            <w:tcBorders>
              <w:top w:val="single" w:color="CCCCCC" w:sz="4"/>
              <w:left w:val="single" w:color="CCCCCC" w:sz="4"/>
              <w:bottom w:val="single" w:color="CCCCCC" w:sz="4"/>
              <w:right w:val="single" w:color="CCCCCC" w:sz="4"/>
            </w:tcBorders>
            <w:shd w:fill="F2F4F7" w:val="clear"/>
            <w:tcMar>
              <w:top w:type="dxa" w:w="50"/>
              <w:left w:type="dxa" w:w="100"/>
              <w:bottom w:type="dxa" w:w="50"/>
              <w:right w:type="dxa" w:w="100"/>
            </w:tcMar>
          </w:tcPr>
          <w:p>
            <w:pPr>
              <w:spacing w:before="15" w:after="20"/>
            </w:pPr>
            <w:r>
              <w:rPr>
                <w:rFonts w:ascii="Arial" w:cs="Arial" w:eastAsia="Arial" w:hAnsi="Arial"/>
                <w:b/>
                <w:bCs/>
                <w:color w:val="1B3A6B"/>
                <w:sz w:val="14"/>
                <w:szCs w:val="14"/>
              </w:rPr>
              <w:t xml:space="preserve">TOP 5 POSICIONES</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Bonos Alemania 0-3 años (múltiples, ~25%)</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ASML Holding (1,8%)</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Taiwan Semiconductor (1,7%)</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Johnson &amp; Johnson (1,6%)</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Tencent Holdings (1,5%)</w:t>
            </w:r>
          </w:p>
        </w:tc>
        <w:tc>
          <w:tcPr>
            <w:tcBorders>
              <w:top w:val="single" w:color="CCCCCC" w:sz="4"/>
              <w:left w:val="single" w:color="CCCCCC" w:sz="4"/>
              <w:bottom w:val="single" w:color="CCCCCC" w:sz="4"/>
              <w:right w:val="single" w:color="CCCCCC" w:sz="4"/>
            </w:tcBorders>
            <w:shd w:fill="FFF8E7" w:val="clear"/>
            <w:tcMar>
              <w:top w:type="dxa" w:w="50"/>
              <w:left w:type="dxa" w:w="100"/>
              <w:bottom w:type="dxa" w:w="50"/>
              <w:right w:type="dxa" w:w="100"/>
            </w:tcMar>
          </w:tcPr>
          <w:p>
            <w:pPr>
              <w:spacing w:before="15" w:after="15"/>
            </w:pPr>
            <w:r>
              <w:rPr>
                <w:rFonts w:ascii="Arial" w:cs="Arial" w:eastAsia="Arial" w:hAnsi="Arial"/>
                <w:b/>
                <w:bCs/>
                <w:color w:val="1B3A6B"/>
                <w:sz w:val="14"/>
                <w:szCs w:val="14"/>
              </w:rPr>
              <w:t xml:space="preserve">ESTRATEGIA Y VALORACIÓN ANALÍTICA</w:t>
            </w:r>
          </w:p>
          <w:p>
            <w:pPr>
              <w:spacing w:before="0" w:after="15"/>
              <w:jc w:val="both"/>
            </w:pPr>
            <w:r>
              <w:rPr>
                <w:rFonts w:ascii="Arial" w:cs="Arial" w:eastAsia="Arial" w:hAnsi="Arial"/>
                <w:sz w:val="13"/>
                <w:szCs w:val="13"/>
              </w:rPr>
              <w:t xml:space="preserve">60% RV aristócratas del dividendo (10+ años dividendos crecientes) + 40% RF investment grade. Gestión cuasi-pasiva, baja rotación.</w:t>
            </w:r>
          </w:p>
          <w:p>
            <w:pPr>
              <w:spacing w:before="8" w:after="8"/>
            </w:pPr>
            <w:r>
              <w:rPr>
                <w:rFonts w:ascii="Arial" w:cs="Arial" w:eastAsia="Arial" w:hAnsi="Arial"/>
                <w:b/>
                <w:bCs/>
                <w:sz w:val="13"/>
                <w:szCs w:val="13"/>
              </w:rPr>
              <w:t xml:space="preserve">Rentabilidad esperada neta: </w:t>
            </w:r>
            <w:r>
              <w:rPr>
                <w:rFonts w:ascii="Arial" w:cs="Arial" w:eastAsia="Arial" w:hAnsi="Arial"/>
                <w:b/>
                <w:bCs/>
                <w:color w:val="1A7A4A"/>
                <w:sz w:val="13"/>
                <w:szCs w:val="13"/>
              </w:rPr>
              <w:t xml:space="preserve">5% – 8% neto/año</w:t>
            </w:r>
          </w:p>
          <w:p>
            <w:pPr>
              <w:spacing w:before="5" w:after="0"/>
              <w:jc w:val="both"/>
            </w:pPr>
            <w:r>
              <w:rPr>
                <w:rFonts w:ascii="Arial" w:cs="Arial" w:eastAsia="Arial" w:hAnsi="Arial"/>
                <w:i/>
                <w:iCs/>
                <w:color w:val="4A4A4A"/>
                <w:sz w:val="12"/>
                <w:szCs w:val="12"/>
              </w:rPr>
              <w:t xml:space="preserve">Bajo TER y aristócratas del dividendo son atractivos, pero el Sharpe más bajo del universo y el alfa negativo revelan que la estrategia no compensa el riesgo asumido en el período analizado.</w:t>
            </w:r>
          </w:p>
        </w:tc>
      </w:tr>
    </w:tbl>
    <w:p>
      <w:pPr>
        <w:spacing w:before="36" w:after="16"/>
      </w:pPr>
      <w:r>
        <w:rPr>
          <w:rFonts w:ascii="Arial" w:cs="Arial" w:eastAsia="Arial" w:hAnsi="Arial"/>
          <w:b/>
          <w:bCs/>
          <w:color w:val="1B3A6B"/>
          <w:sz w:val="13"/>
          <w:szCs w:val="13"/>
        </w:rPr>
        <w:t xml:space="preserve">OBJETIVO DE LA INVERSIÓN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40"/>
      </w:tblGrid>
      <w:tr>
        <w:tc>
          <w:tcPr>
            <w:tcBorders>
              <w:top w:val="single" w:color="9999CC" w:sz="4"/>
              <w:left w:val="single" w:color="9999CC" w:sz="4"/>
              <w:bottom w:val="single" w:color="9999CC" w:sz="4"/>
              <w:right w:val="single" w:color="9999CC" w:sz="4"/>
            </w:tcBorders>
            <w:shd w:fill="EDE9FE" w:val="clear"/>
            <w:tcMar>
              <w:top w:type="dxa" w:w="55"/>
              <w:left w:type="dxa" w:w="130"/>
              <w:bottom w:type="dxa" w:w="55"/>
              <w:right w:type="dxa" w:w="130"/>
            </w:tcMar>
          </w:tcPr>
          <w:p>
            <w:pPr>
              <w:spacing w:before="10" w:after="15"/>
            </w:pPr>
            <w:r>
              <w:rPr>
                <w:rFonts w:ascii="Arial" w:cs="Arial" w:eastAsia="Arial" w:hAnsi="Arial"/>
                <w:b/>
                <w:bCs/>
                <w:color w:val="6D28D9"/>
                <w:sz w:val="14"/>
                <w:szCs w:val="14"/>
              </w:rPr>
              <w:t xml:space="preserve">🎯  OBJETIVO DE LA INVERSIÓN</w:t>
            </w:r>
          </w:p>
          <w:p>
            <w:pPr>
              <w:spacing w:before="0" w:after="0"/>
              <w:jc w:val="both"/>
            </w:pPr>
            <w:r>
              <w:rPr>
                <w:rFonts w:ascii="Arial" w:cs="Arial" w:eastAsia="Arial" w:hAnsi="Arial"/>
                <w:color w:val="4A4A4A"/>
                <w:sz w:val="13"/>
                <w:szCs w:val="13"/>
              </w:rPr>
              <w:t xml:space="preserve">Crecimiento del capital a largo plazo manteniendo un riesgo moderado en comparación con el mercado total de acciones. Objetivo de rentabilidad: inflación media + 3-4% anual. Invierte entre 30-75% en renta variable global de gran capitalización con historial de dividendos crecientes (aristócratas del dividendo con al menos 10 años de dividendos crecientes ininterrumpidos, según índices S&amp;P Global Dividend Aristocrats, Nasdaq International Dividend Achievers y equivalentes), más REITs globales y mineras de oro. La cartera de RV se pondera por capitalización de mercado. La RV se distribuye aproximadamente en tercios: ~1/3 EE.UU., ~1/3 Europa+UK, ~1/3 resto del mundo. La RF (mínimo calidad BBB-) actúa como estabilizador sin riesgo divisa, centrada en Bund alemán y bonos ligados a la inflación. Gestión muy pasiva, cuasi-indexada con baja rotación de activos. (Fuente: baelopatrimonio.com / Andbank / Morningstar)</w:t>
            </w:r>
          </w:p>
        </w:tc>
      </w:tr>
    </w:tbl>
    <w:p>
      <w:r>
        <w:br w:type="page"/>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728"/>
        <w:gridCol w:w="3312"/>
      </w:tblGrid>
      <w:tr>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40" w:after="20"/>
            </w:pPr>
            <w:r>
              <w:rPr>
                <w:rFonts w:ascii="Arial" w:cs="Arial" w:eastAsia="Arial" w:hAnsi="Arial"/>
                <w:b/>
                <w:bCs/>
                <w:color w:val="FFFFFF"/>
                <w:sz w:val="22"/>
                <w:szCs w:val="22"/>
              </w:rPr>
              <w:t xml:space="preserve">5. BL-Global 50 B EUR Acc</w:t>
            </w:r>
          </w:p>
          <w:p>
            <w:pPr>
              <w:spacing w:before="0" w:after="30"/>
            </w:pPr>
            <w:r>
              <w:rPr>
                <w:rFonts w:ascii="Arial" w:cs="Arial" w:eastAsia="Arial" w:hAnsi="Arial"/>
                <w:color w:val="CCDDFF"/>
                <w:sz w:val="14"/>
                <w:szCs w:val="14"/>
              </w:rPr>
              <w:t xml:space="preserve">ISIN: LU0048292808  ·  Mixto Moderado EUR Global  ·  SRRI: 4/7</w:t>
            </w:r>
          </w:p>
        </w:tc>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30" w:after="10"/>
              <w:jc w:val="center"/>
            </w:pPr>
            <w:r>
              <w:rPr>
                <w:rFonts w:ascii="Arial" w:cs="Arial" w:eastAsia="Arial" w:hAnsi="Arial"/>
                <w:color w:val="CCDDFF"/>
                <w:sz w:val="14"/>
                <w:szCs w:val="14"/>
              </w:rPr>
              <w:t xml:space="preserve">Mi Valoración</w:t>
            </w:r>
          </w:p>
          <w:p>
            <w:pPr>
              <w:spacing w:before="0" w:after="10"/>
              <w:jc w:val="center"/>
            </w:pPr>
            <w:r>
              <w:rPr>
                <w:rFonts w:ascii="Arial" w:cs="Arial" w:eastAsia="Arial" w:hAnsi="Arial"/>
                <w:color w:val="FFD700"/>
                <w:sz w:val="28"/>
                <w:szCs w:val="28"/>
              </w:rPr>
              <w:t xml:space="preserve">★★★★☆</w:t>
            </w:r>
          </w:p>
          <w:p>
            <w:pPr>
              <w:spacing w:before="0" w:after="30"/>
              <w:jc w:val="center"/>
            </w:pPr>
            <w:r>
              <w:rPr>
                <w:rFonts w:ascii="Arial" w:cs="Arial" w:eastAsia="Arial" w:hAnsi="Arial"/>
                <w:i/>
                <w:iCs/>
                <w:color w:val="AABBDD"/>
                <w:sz w:val="12"/>
                <w:szCs w:val="12"/>
              </w:rPr>
              <w:t xml:space="preserve">Sin Medalist</w:t>
            </w:r>
          </w:p>
        </w:tc>
      </w:tr>
    </w:tbl>
    <w:p>
      <w:pPr>
        <w:spacing w:before="46" w:after="32"/>
      </w:pP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2700"/>
        <w:gridCol w:w="1000"/>
        <w:gridCol w:w="2100"/>
        <w:gridCol w:w="780"/>
        <w:gridCol w:w="1100"/>
        <w:gridCol w:w="640"/>
        <w:gridCol w:w="52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Gestora</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Banque de Luxembourg Investments (BLI) S.A.</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Gestor/es</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Joël Reuland (equipo BLI)</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Inicio</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2"/>
                <w:szCs w:val="12"/>
              </w:rPr>
              <w:t xml:space="preserve">Diciembre 1996 (casi 30 años)</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TER</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1,45%</w:t>
            </w:r>
          </w:p>
        </w:tc>
      </w:tr>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Patrimonio</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500,08 M€</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Partícipes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n.d. (luxemburgués, multi-mercado)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MS★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D97706"/>
                <w:sz w:val="14"/>
                <w:szCs w:val="14"/>
              </w:rPr>
              <w:t xml:space="preserv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Beta</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0,43</w:t>
            </w:r>
          </w:p>
        </w:tc>
      </w:tr>
    </w:tbl>
    <w:p>
      <w:pPr>
        <w:spacing w:before="36" w:after="16"/>
      </w:pPr>
      <w:r>
        <w:rPr>
          <w:rFonts w:ascii="Arial" w:cs="Arial" w:eastAsia="Arial" w:hAnsi="Arial"/>
          <w:b/>
          <w:bCs/>
          <w:color w:val="1B3A6B"/>
          <w:sz w:val="13"/>
          <w:szCs w:val="13"/>
        </w:rPr>
        <w:t xml:space="preserve">RENTABILIDADES HISTÓRICAS Y MÉTRICAS DE RIESGO</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1100"/>
        <w:gridCol w:w="1100"/>
        <w:gridCol w:w="1300"/>
        <w:gridCol w:w="1100"/>
        <w:gridCol w:w="1200"/>
        <w:gridCol w:w="1400"/>
        <w:gridCol w:w="700"/>
        <w:gridCol w:w="640"/>
        <w:gridCol w:w="700"/>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1 año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3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5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2022</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2023</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2024</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Volatilidad</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Sharpe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Alfa</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+14,35%</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+10,82%</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+6,66%</w:t>
            </w:r>
          </w:p>
        </w:tc>
        <w:tc>
          <w:tcPr>
            <w:tcBorders>
              <w:top w:val="single" w:color="CCCCCC" w:sz="4"/>
              <w:left w:val="single" w:color="CCCCCC" w:sz="4"/>
              <w:bottom w:val="single" w:color="CCCCCC" w:sz="4"/>
              <w:right w:val="single" w:color="CCCCCC"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-7,32%</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+10,66%</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+13,80%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5,44%</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4A4A4A"/>
                <w:sz w:val="14"/>
                <w:szCs w:val="14"/>
              </w:rPr>
              <w:t xml:space="preserve">1.18</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+4,10</w:t>
            </w:r>
          </w:p>
        </w:tc>
      </w:tr>
    </w:tbl>
    <w:p>
      <w:pPr>
        <w:spacing w:before="36" w:after="16"/>
      </w:pPr>
      <w:r>
        <w:rPr>
          <w:rFonts w:ascii="Arial" w:cs="Arial" w:eastAsia="Arial" w:hAnsi="Arial"/>
          <w:b/>
          <w:bCs/>
          <w:color w:val="1B3A6B"/>
          <w:sz w:val="13"/>
          <w:szCs w:val="13"/>
        </w:rPr>
        <w:t xml:space="preserve">DISTRIBUCIÓN DE ACTIVOS · RF LARGO PLAZO · METALES PRECIOSOS</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20"/>
        <w:gridCol w:w="780"/>
        <w:gridCol w:w="720"/>
        <w:gridCol w:w="780"/>
        <w:gridCol w:w="720"/>
        <w:gridCol w:w="780"/>
        <w:gridCol w:w="820"/>
        <w:gridCol w:w="1600"/>
        <w:gridCol w:w="820"/>
        <w:gridCol w:w="160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RV</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37,8%</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RF</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28,7%</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Cash</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11,5%</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RF Largo Plazo</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~60% (soberana premium)</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Metales Prec.</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~22% (oro+plata ETCs)</w:t>
            </w:r>
          </w:p>
        </w:tc>
      </w:tr>
    </w:tbl>
    <w:p>
      <w:pPr>
        <w:spacing w:before="36" w:after="16"/>
      </w:pPr>
      <w:r>
        <w:rPr>
          <w:rFonts w:ascii="Arial" w:cs="Arial" w:eastAsia="Arial" w:hAnsi="Arial"/>
          <w:b/>
          <w:bCs/>
          <w:color w:val="1B3A6B"/>
          <w:sz w:val="13"/>
          <w:szCs w:val="13"/>
        </w:rPr>
        <w:t xml:space="preserve">DISTRIBUCIÓN SECTORIAL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208"/>
        <w:gridCol w:w="2208"/>
        <w:gridCol w:w="2208"/>
        <w:gridCol w:w="2208"/>
        <w:gridCol w:w="2208"/>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Tecnología</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Salud</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Cons. Defensivo</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Industria</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Materiales+Otros</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21%</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19%</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15%</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12%</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33%</w:t>
            </w:r>
          </w:p>
        </w:tc>
      </w:tr>
    </w:tbl>
    <w:p>
      <w:pPr>
        <w:spacing w:before="36" w:after="16"/>
      </w:pPr>
      <w:r>
        <w:rPr>
          <w:rFonts w:ascii="Arial" w:cs="Arial" w:eastAsia="Arial" w:hAnsi="Arial"/>
          <w:b/>
          <w:bCs/>
          <w:color w:val="1B3A6B"/>
          <w:sz w:val="13"/>
          <w:szCs w:val="13"/>
        </w:rPr>
        <w:t xml:space="preserve">DISTRIBUCIÓN REGIONAL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760"/>
        <w:gridCol w:w="2760"/>
        <w:gridCol w:w="2760"/>
        <w:gridCol w:w="2760"/>
      </w:tblGrid>
      <w:tr>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Europa</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Norteamérica</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Asia-Pacífico</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Otros</w:t>
            </w:r>
          </w:p>
        </w:tc>
      </w:tr>
      <w:tr>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38%</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32%</w:t>
            </w:r>
          </w:p>
        </w:tc>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22%</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8%</w:t>
            </w:r>
          </w:p>
        </w:tc>
      </w:tr>
    </w:tbl>
    <w:p>
      <w:pPr>
        <w:spacing w:before="36" w:after="16"/>
      </w:pPr>
      <w:r>
        <w:rPr>
          <w:rFonts w:ascii="Arial" w:cs="Arial" w:eastAsia="Arial" w:hAnsi="Arial"/>
          <w:b/>
          <w:bCs/>
          <w:color w:val="1B3A6B"/>
          <w:sz w:val="13"/>
          <w:szCs w:val="13"/>
        </w:rPr>
        <w:t xml:space="preserve">FORTALEZAS Y PUNTOS DE ATENCIÓN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5520"/>
        <w:gridCol w:w="5520"/>
      </w:tblGrid>
      <w:tr>
        <w:tc>
          <w:tcPr>
            <w:tcBorders>
              <w:top w:val="single" w:color="1A7A4A" w:sz="4"/>
              <w:left w:val="single" w:color="1A7A4A" w:sz="4"/>
              <w:bottom w:val="single" w:color="1A7A4A" w:sz="4"/>
              <w:right w:val="single" w:color="1A7A4A" w:sz="4"/>
            </w:tcBorders>
            <w:shd w:fill="1A7A4A"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FORTALEZAS</w:t>
            </w:r>
          </w:p>
        </w:tc>
        <w:tc>
          <w:tcPr>
            <w:tcBorders>
              <w:top w:val="single" w:color="C0392B" w:sz="4"/>
              <w:left w:val="single" w:color="C0392B" w:sz="4"/>
              <w:bottom w:val="single" w:color="C0392B" w:sz="4"/>
              <w:right w:val="single" w:color="C0392B" w:sz="4"/>
            </w:tcBorders>
            <w:shd w:fill="C0392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PUNTOS DE ATENCIÓN</w:t>
            </w:r>
          </w:p>
        </w:tc>
      </w:tr>
      <w:tr>
        <w:tc>
          <w:tcPr>
            <w:tcBorders>
              <w:top w:val="single" w:color="AAAAAA" w:sz="4"/>
              <w:left w:val="single" w:color="AAAAAA" w:sz="4"/>
              <w:bottom w:val="single" w:color="AAAAAA" w:sz="4"/>
              <w:right w:val="single" w:color="AAAAAA" w:sz="4"/>
            </w:tcBorders>
            <w:shd w:fill="D1FAE5" w:val="clear"/>
            <w:tcMar>
              <w:top w:type="dxa" w:w="50"/>
              <w:left w:type="dxa" w:w="90"/>
              <w:bottom w:type="dxa" w:w="50"/>
              <w:right w:type="dxa" w:w="90"/>
            </w:tcMar>
          </w:tcPr>
          <w:p>
            <w:pPr>
              <w:spacing w:before="15" w:after="15"/>
            </w:pPr>
            <w:r>
              <w:rPr>
                <w:rFonts w:ascii="Arial" w:cs="Arial" w:eastAsia="Arial" w:hAnsi="Arial"/>
                <w:sz w:val="13"/>
                <w:szCs w:val="13"/>
              </w:rPr>
              <w:t xml:space="preserve">• Sharpe 1,18 y alfa +4,10: excelente relación rentabilidad/riesgo</w:t>
            </w:r>
          </w:p>
          <w:p>
            <w:pPr>
              <w:spacing w:before="15" w:after="15"/>
            </w:pPr>
            <w:r>
              <w:rPr>
                <w:rFonts w:ascii="Arial" w:cs="Arial" w:eastAsia="Arial" w:hAnsi="Arial"/>
                <w:sz w:val="13"/>
                <w:szCs w:val="13"/>
              </w:rPr>
              <w:t xml:space="preserve">• Beta 0,43: el más bajo entre moderados — comportamiento defensivo real</w:t>
            </w:r>
          </w:p>
          <w:p>
            <w:pPr>
              <w:spacing w:before="15" w:after="15"/>
            </w:pPr>
            <w:r>
              <w:rPr>
                <w:rFonts w:ascii="Arial" w:cs="Arial" w:eastAsia="Arial" w:hAnsi="Arial"/>
                <w:sz w:val="13"/>
                <w:szCs w:val="13"/>
              </w:rPr>
              <w:t xml:space="preserve">• Historial casi 30 años (1996): probado en múltiples ciclos de mercado</w:t>
            </w:r>
          </w:p>
          <w:p>
            <w:pPr>
              <w:spacing w:before="15" w:after="15"/>
            </w:pPr>
            <w:r>
              <w:rPr>
                <w:rFonts w:ascii="Arial" w:cs="Arial" w:eastAsia="Arial" w:hAnsi="Arial"/>
                <w:sz w:val="13"/>
                <w:szCs w:val="13"/>
              </w:rPr>
              <w:t xml:space="preserve">• Patrimonio 500M€: alta liquidez y eficiencia operativa</w:t>
            </w:r>
          </w:p>
          <w:p>
            <w:pPr>
              <w:spacing w:before="15" w:after="15"/>
            </w:pPr>
            <w:r>
              <w:rPr>
                <w:rFonts w:ascii="Arial" w:cs="Arial" w:eastAsia="Arial" w:hAnsi="Arial"/>
                <w:sz w:val="13"/>
                <w:szCs w:val="13"/>
              </w:rPr>
              <w:t xml:space="preserve">• 22% en oro/plata: cobertura estructural de inflación y geopolítica</w:t>
            </w:r>
          </w:p>
        </w:tc>
        <w:tc>
          <w:tcPr>
            <w:tcBorders>
              <w:top w:val="single" w:color="AAAAAA" w:sz="4"/>
              <w:left w:val="single" w:color="AAAAAA" w:sz="4"/>
              <w:bottom w:val="single" w:color="AAAAAA" w:sz="4"/>
              <w:right w:val="single" w:color="AAAAAA" w:sz="4"/>
            </w:tcBorders>
            <w:shd w:fill="FEE2E2" w:val="clear"/>
            <w:tcMar>
              <w:top w:type="dxa" w:w="50"/>
              <w:left w:type="dxa" w:w="90"/>
              <w:bottom w:type="dxa" w:w="50"/>
              <w:right w:type="dxa" w:w="90"/>
            </w:tcMar>
          </w:tcPr>
          <w:p>
            <w:pPr>
              <w:spacing w:before="15" w:after="15"/>
            </w:pPr>
            <w:r>
              <w:rPr>
                <w:rFonts w:ascii="Arial" w:cs="Arial" w:eastAsia="Arial" w:hAnsi="Arial"/>
                <w:sz w:val="13"/>
                <w:szCs w:val="13"/>
              </w:rPr>
              <w:t xml:space="preserve">• TER 1,45%: el MÁS ALTO del universo analizado</w:t>
            </w:r>
          </w:p>
          <w:p>
            <w:pPr>
              <w:spacing w:before="15" w:after="15"/>
            </w:pPr>
            <w:r>
              <w:rPr>
                <w:rFonts w:ascii="Arial" w:cs="Arial" w:eastAsia="Arial" w:hAnsi="Arial"/>
                <w:sz w:val="13"/>
                <w:szCs w:val="13"/>
              </w:rPr>
              <w:t xml:space="preserve">• El oro/plata (22%) no genera ingresos recurrentes</w:t>
            </w:r>
          </w:p>
          <w:p>
            <w:pPr>
              <w:spacing w:before="15" w:after="15"/>
            </w:pPr>
            <w:r>
              <w:rPr>
                <w:rFonts w:ascii="Arial" w:cs="Arial" w:eastAsia="Arial" w:hAnsi="Arial"/>
                <w:sz w:val="13"/>
                <w:szCs w:val="13"/>
              </w:rPr>
              <w:t xml:space="preserve">• Jurisdicción luxemburguesa: complejidad fiscal para residentes españoles</w:t>
            </w:r>
          </w:p>
          <w:p>
            <w:pPr>
              <w:spacing w:before="15" w:after="15"/>
            </w:pPr>
            <w:r>
              <w:rPr>
                <w:rFonts w:ascii="Arial" w:cs="Arial" w:eastAsia="Arial" w:hAnsi="Arial"/>
                <w:sz w:val="13"/>
                <w:szCs w:val="13"/>
              </w:rPr>
              <w:t xml:space="preserve">• Sin calificación Medalist de Morningstar actualmente</w:t>
            </w:r>
          </w:p>
        </w:tc>
      </w:tr>
    </w:tbl>
    <w:p>
      <w:pPr>
        <w:spacing w:before="36" w:after="16"/>
      </w:pPr>
      <w:r>
        <w:rPr>
          <w:rFonts w:ascii="Arial" w:cs="Arial" w:eastAsia="Arial" w:hAnsi="Arial"/>
          <w:b/>
          <w:bCs/>
          <w:color w:val="1B3A6B"/>
          <w:sz w:val="13"/>
          <w:szCs w:val="13"/>
        </w:rPr>
        <w:t xml:space="preserve">PRINCIPALES POSICIONES Y VALORACIÓN ANALÍTICA</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4195"/>
        <w:gridCol w:w="6845"/>
      </w:tblGrid>
      <w:tr>
        <w:tc>
          <w:tcPr>
            <w:tcBorders>
              <w:top w:val="single" w:color="CCCCCC" w:sz="4"/>
              <w:left w:val="single" w:color="CCCCCC" w:sz="4"/>
              <w:bottom w:val="single" w:color="CCCCCC" w:sz="4"/>
              <w:right w:val="single" w:color="CCCCCC" w:sz="4"/>
            </w:tcBorders>
            <w:shd w:fill="F2F4F7" w:val="clear"/>
            <w:tcMar>
              <w:top w:type="dxa" w:w="50"/>
              <w:left w:type="dxa" w:w="100"/>
              <w:bottom w:type="dxa" w:w="50"/>
              <w:right w:type="dxa" w:w="100"/>
            </w:tcMar>
          </w:tcPr>
          <w:p>
            <w:pPr>
              <w:spacing w:before="15" w:after="20"/>
            </w:pPr>
            <w:r>
              <w:rPr>
                <w:rFonts w:ascii="Arial" w:cs="Arial" w:eastAsia="Arial" w:hAnsi="Arial"/>
                <w:b/>
                <w:bCs/>
                <w:color w:val="1B3A6B"/>
                <w:sz w:val="14"/>
                <w:szCs w:val="14"/>
              </w:rPr>
              <w:t xml:space="preserve">TOP 5 POSICIONES</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Invesco Physical Gold ETC (~9%)</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iShares Physical Gold ETC (~7%)</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Amundi Physical Gold ETC (~5%)</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Bonos soberanos Alemania (~12%)</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Acciones calidad global (~38%)</w:t>
            </w:r>
          </w:p>
        </w:tc>
        <w:tc>
          <w:tcPr>
            <w:tcBorders>
              <w:top w:val="single" w:color="CCCCCC" w:sz="4"/>
              <w:left w:val="single" w:color="CCCCCC" w:sz="4"/>
              <w:bottom w:val="single" w:color="CCCCCC" w:sz="4"/>
              <w:right w:val="single" w:color="CCCCCC" w:sz="4"/>
            </w:tcBorders>
            <w:shd w:fill="FFF8E7" w:val="clear"/>
            <w:tcMar>
              <w:top w:type="dxa" w:w="50"/>
              <w:left w:type="dxa" w:w="100"/>
              <w:bottom w:type="dxa" w:w="50"/>
              <w:right w:type="dxa" w:w="100"/>
            </w:tcMar>
          </w:tcPr>
          <w:p>
            <w:pPr>
              <w:spacing w:before="15" w:after="15"/>
            </w:pPr>
            <w:r>
              <w:rPr>
                <w:rFonts w:ascii="Arial" w:cs="Arial" w:eastAsia="Arial" w:hAnsi="Arial"/>
                <w:b/>
                <w:bCs/>
                <w:color w:val="1B3A6B"/>
                <w:sz w:val="14"/>
                <w:szCs w:val="14"/>
              </w:rPr>
              <w:t xml:space="preserve">ESTRATEGIA Y VALORACIÓN ANALÍTICA</w:t>
            </w:r>
          </w:p>
          <w:p>
            <w:pPr>
              <w:spacing w:before="0" w:after="15"/>
              <w:jc w:val="both"/>
            </w:pPr>
            <w:r>
              <w:rPr>
                <w:rFonts w:ascii="Arial" w:cs="Arial" w:eastAsia="Arial" w:hAnsi="Arial"/>
                <w:sz w:val="13"/>
                <w:szCs w:val="13"/>
              </w:rPr>
              <w:t xml:space="preserve">Multiactivo luxemburgués ~30 años: ~38% RV calidad global, ~28% RF soberana premium, ~22% oro físico (ETCs). Filosofía BLI: preservación de capital a largo plazo.</w:t>
            </w:r>
          </w:p>
          <w:p>
            <w:pPr>
              <w:spacing w:before="8" w:after="8"/>
            </w:pPr>
            <w:r>
              <w:rPr>
                <w:rFonts w:ascii="Arial" w:cs="Arial" w:eastAsia="Arial" w:hAnsi="Arial"/>
                <w:b/>
                <w:bCs/>
                <w:sz w:val="13"/>
                <w:szCs w:val="13"/>
              </w:rPr>
              <w:t xml:space="preserve">Rentabilidad esperada neta: </w:t>
            </w:r>
            <w:r>
              <w:rPr>
                <w:rFonts w:ascii="Arial" w:cs="Arial" w:eastAsia="Arial" w:hAnsi="Arial"/>
                <w:b/>
                <w:bCs/>
                <w:color w:val="1A7A4A"/>
                <w:sz w:val="13"/>
                <w:szCs w:val="13"/>
              </w:rPr>
              <w:t xml:space="preserve">6% – 9% neto/año</w:t>
            </w:r>
          </w:p>
          <w:p>
            <w:pPr>
              <w:spacing w:before="5" w:after="0"/>
              <w:jc w:val="both"/>
            </w:pPr>
            <w:r>
              <w:rPr>
                <w:rFonts w:ascii="Arial" w:cs="Arial" w:eastAsia="Arial" w:hAnsi="Arial"/>
                <w:i/>
                <w:iCs/>
                <w:color w:val="4A4A4A"/>
                <w:sz w:val="12"/>
                <w:szCs w:val="12"/>
              </w:rPr>
              <w:t xml:space="preserve">Excelente historial (30 años), Sharpe sólido y Beta baja demuestran la calidad BLI. El TER alto (1,45%) es el principal lastre. El oro actúa como amortiguador eficaz. Muy recomendable para preservación con crecimiento.</w:t>
            </w:r>
          </w:p>
        </w:tc>
      </w:tr>
    </w:tbl>
    <w:p>
      <w:pPr>
        <w:spacing w:before="36" w:after="16"/>
      </w:pPr>
      <w:r>
        <w:rPr>
          <w:rFonts w:ascii="Arial" w:cs="Arial" w:eastAsia="Arial" w:hAnsi="Arial"/>
          <w:b/>
          <w:bCs/>
          <w:color w:val="1B3A6B"/>
          <w:sz w:val="13"/>
          <w:szCs w:val="13"/>
        </w:rPr>
        <w:t xml:space="preserve">OBJETIVO DE LA INVERSIÓN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40"/>
      </w:tblGrid>
      <w:tr>
        <w:tc>
          <w:tcPr>
            <w:tcBorders>
              <w:top w:val="single" w:color="9999CC" w:sz="4"/>
              <w:left w:val="single" w:color="9999CC" w:sz="4"/>
              <w:bottom w:val="single" w:color="9999CC" w:sz="4"/>
              <w:right w:val="single" w:color="9999CC" w:sz="4"/>
            </w:tcBorders>
            <w:shd w:fill="EDE9FE" w:val="clear"/>
            <w:tcMar>
              <w:top w:type="dxa" w:w="55"/>
              <w:left w:type="dxa" w:w="130"/>
              <w:bottom w:type="dxa" w:w="55"/>
              <w:right w:type="dxa" w:w="130"/>
            </w:tcMar>
          </w:tcPr>
          <w:p>
            <w:pPr>
              <w:spacing w:before="10" w:after="15"/>
            </w:pPr>
            <w:r>
              <w:rPr>
                <w:rFonts w:ascii="Arial" w:cs="Arial" w:eastAsia="Arial" w:hAnsi="Arial"/>
                <w:b/>
                <w:bCs/>
                <w:color w:val="6D28D9"/>
                <w:sz w:val="14"/>
                <w:szCs w:val="14"/>
              </w:rPr>
              <w:t xml:space="preserve">🎯  OBJETIVO DE LA INVERSIÓN</w:t>
            </w:r>
          </w:p>
          <w:p>
            <w:pPr>
              <w:spacing w:before="0" w:after="0"/>
              <w:jc w:val="both"/>
            </w:pPr>
            <w:r>
              <w:rPr>
                <w:rFonts w:ascii="Arial" w:cs="Arial" w:eastAsia="Arial" w:hAnsi="Arial"/>
                <w:color w:val="4A4A4A"/>
                <w:sz w:val="13"/>
                <w:szCs w:val="13"/>
              </w:rPr>
              <w:t xml:space="preserve">Búsqueda de rentabilidad y apreciación de capital con volatilidad moderada. Este compartimento mixto neutral invierte sin restricciones geográficas, sectoriales ni monetarias en acciones (30-70% del patrimonio neto, asignación neutral ~50%), bonos (incluidos bonos vinculados a la inflación) e instrumentos del mercado monetario. Con el objetivo de diversificar la cartera, el compartimento puede invertir hasta el 25% de sus activos netos en materias primas negociadas en bolsa (principalmente oro y plata físicos mediante ETCs). La filosofía BLI prioriza la calidad empresarial a largo plazo y la preservación de capital real. Sin límite geográfico, sectorial ni de capitalización. El gestor Joël Reuland lleva más de 25 años al frente de esta gama de fondos, iniciada en 1993. (Fuente: BLI / Quefondos / Morningstar España)</w:t>
            </w:r>
          </w:p>
        </w:tc>
      </w:tr>
    </w:tbl>
    <w:p>
      <w:r>
        <w:br w:type="page"/>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728"/>
        <w:gridCol w:w="3312"/>
      </w:tblGrid>
      <w:tr>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40" w:after="20"/>
            </w:pPr>
            <w:r>
              <w:rPr>
                <w:rFonts w:ascii="Arial" w:cs="Arial" w:eastAsia="Arial" w:hAnsi="Arial"/>
                <w:b/>
                <w:bCs/>
                <w:color w:val="FFFFFF"/>
                <w:sz w:val="22"/>
                <w:szCs w:val="22"/>
              </w:rPr>
              <w:t xml:space="preserve">6. Impassive Wealth FI</w:t>
            </w:r>
          </w:p>
          <w:p>
            <w:pPr>
              <w:spacing w:before="0" w:after="30"/>
            </w:pPr>
            <w:r>
              <w:rPr>
                <w:rFonts w:ascii="Arial" w:cs="Arial" w:eastAsia="Arial" w:hAnsi="Arial"/>
                <w:color w:val="CCDDFF"/>
                <w:sz w:val="14"/>
                <w:szCs w:val="14"/>
              </w:rPr>
              <w:t xml:space="preserve">ISIN: ES0147897005  ·  Mixto Flexible EUR Global  ·  SRRI: 4/7</w:t>
            </w:r>
          </w:p>
        </w:tc>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30" w:after="10"/>
              <w:jc w:val="center"/>
            </w:pPr>
            <w:r>
              <w:rPr>
                <w:rFonts w:ascii="Arial" w:cs="Arial" w:eastAsia="Arial" w:hAnsi="Arial"/>
                <w:color w:val="CCDDFF"/>
                <w:sz w:val="14"/>
                <w:szCs w:val="14"/>
              </w:rPr>
              <w:t xml:space="preserve">Mi Valoración</w:t>
            </w:r>
          </w:p>
          <w:p>
            <w:pPr>
              <w:spacing w:before="0" w:after="10"/>
              <w:jc w:val="center"/>
            </w:pPr>
            <w:r>
              <w:rPr>
                <w:rFonts w:ascii="Arial" w:cs="Arial" w:eastAsia="Arial" w:hAnsi="Arial"/>
                <w:color w:val="FFD700"/>
                <w:sz w:val="28"/>
                <w:szCs w:val="28"/>
              </w:rPr>
              <w:t xml:space="preserve">★★★☆☆</w:t>
            </w:r>
          </w:p>
          <w:p>
            <w:pPr>
              <w:spacing w:before="0" w:after="30"/>
              <w:jc w:val="center"/>
            </w:pPr>
            <w:r>
              <w:rPr>
                <w:rFonts w:ascii="Arial" w:cs="Arial" w:eastAsia="Arial" w:hAnsi="Arial"/>
                <w:i/>
                <w:iCs/>
                <w:color w:val="AABBDD"/>
                <w:sz w:val="12"/>
                <w:szCs w:val="12"/>
              </w:rPr>
              <w:t xml:space="preserve">Sin Medalist</w:t>
            </w:r>
          </w:p>
        </w:tc>
      </w:tr>
    </w:tbl>
    <w:p>
      <w:pPr>
        <w:spacing w:before="46" w:after="32"/>
      </w:pP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2700"/>
        <w:gridCol w:w="1000"/>
        <w:gridCol w:w="2100"/>
        <w:gridCol w:w="780"/>
        <w:gridCol w:w="1100"/>
        <w:gridCol w:w="640"/>
        <w:gridCol w:w="52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Gestora</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Andbank Wealth Management SGIIC S.A.U.</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Gestor/es</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Juan Manuel Rodríguez Pérez</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Inicio</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2"/>
                <w:szCs w:val="12"/>
              </w:rPr>
              <w:t xml:space="preserve">Septiembre 2018</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TER</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0,73%</w:t>
            </w:r>
          </w:p>
        </w:tc>
      </w:tr>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Patrimonio</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25,91 M€</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Partícipes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n.d.</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MS★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D97706"/>
                <w:sz w:val="14"/>
                <w:szCs w:val="14"/>
              </w:rPr>
              <w:t xml:space="preserv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Beta</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1,17</w:t>
            </w:r>
          </w:p>
        </w:tc>
      </w:tr>
    </w:tbl>
    <w:p>
      <w:pPr>
        <w:spacing w:before="36" w:after="16"/>
      </w:pPr>
      <w:r>
        <w:rPr>
          <w:rFonts w:ascii="Arial" w:cs="Arial" w:eastAsia="Arial" w:hAnsi="Arial"/>
          <w:b/>
          <w:bCs/>
          <w:color w:val="1B3A6B"/>
          <w:sz w:val="13"/>
          <w:szCs w:val="13"/>
        </w:rPr>
        <w:t xml:space="preserve">RENTABILIDADES HISTÓRICAS Y MÉTRICAS DE RIESGO</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1100"/>
        <w:gridCol w:w="1100"/>
        <w:gridCol w:w="1300"/>
        <w:gridCol w:w="1100"/>
        <w:gridCol w:w="1200"/>
        <w:gridCol w:w="1400"/>
        <w:gridCol w:w="700"/>
        <w:gridCol w:w="640"/>
        <w:gridCol w:w="700"/>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1 año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3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5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2022</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2023</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2024</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Volatilidad</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Sharpe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Alfa</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4A4A4A"/>
                <w:sz w:val="14"/>
                <w:szCs w:val="14"/>
              </w:rPr>
              <w:t xml:space="preserve">+9,66%</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+10,92%</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+7,29%</w:t>
            </w:r>
          </w:p>
        </w:tc>
        <w:tc>
          <w:tcPr>
            <w:tcBorders>
              <w:top w:val="single" w:color="CCCCCC" w:sz="4"/>
              <w:left w:val="single" w:color="CCCCCC" w:sz="4"/>
              <w:bottom w:val="single" w:color="CCCCCC" w:sz="4"/>
              <w:right w:val="single" w:color="CCCCCC"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-11,70%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+13,24%</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+14,82%</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7,33%</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4A4A4A"/>
                <w:sz w:val="14"/>
                <w:szCs w:val="14"/>
              </w:rPr>
              <w:t xml:space="preserve">1.11</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+2,42</w:t>
            </w:r>
          </w:p>
        </w:tc>
      </w:tr>
    </w:tbl>
    <w:p>
      <w:pPr>
        <w:spacing w:before="36" w:after="16"/>
      </w:pPr>
      <w:r>
        <w:rPr>
          <w:rFonts w:ascii="Arial" w:cs="Arial" w:eastAsia="Arial" w:hAnsi="Arial"/>
          <w:b/>
          <w:bCs/>
          <w:color w:val="1B3A6B"/>
          <w:sz w:val="13"/>
          <w:szCs w:val="13"/>
        </w:rPr>
        <w:t xml:space="preserve">DISTRIBUCIÓN DE ACTIVOS · RF LARGO PLAZO · METALES PRECIOSOS</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20"/>
        <w:gridCol w:w="780"/>
        <w:gridCol w:w="720"/>
        <w:gridCol w:w="780"/>
        <w:gridCol w:w="720"/>
        <w:gridCol w:w="780"/>
        <w:gridCol w:w="820"/>
        <w:gridCol w:w="1600"/>
        <w:gridCol w:w="820"/>
        <w:gridCol w:w="160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RV</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68,3%</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RF</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4,1%</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Cash</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6,5%</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RF Largo Plazo</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&lt;5% (bonos corporativos c.p.)</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Metales Prec.</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~12% (oro físico ETCs)</w:t>
            </w:r>
          </w:p>
        </w:tc>
      </w:tr>
    </w:tbl>
    <w:p>
      <w:pPr>
        <w:spacing w:before="36" w:after="16"/>
      </w:pPr>
      <w:r>
        <w:rPr>
          <w:rFonts w:ascii="Arial" w:cs="Arial" w:eastAsia="Arial" w:hAnsi="Arial"/>
          <w:b/>
          <w:bCs/>
          <w:color w:val="1B3A6B"/>
          <w:sz w:val="13"/>
          <w:szCs w:val="13"/>
        </w:rPr>
        <w:t xml:space="preserve">DISTRIBUCIÓN SECTORIAL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208"/>
        <w:gridCol w:w="2208"/>
        <w:gridCol w:w="2208"/>
        <w:gridCol w:w="2208"/>
        <w:gridCol w:w="2208"/>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Tecnología</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Financiero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Salud</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Cons. Disc.</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Emergentes+Otros</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26%</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14%</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12%</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11%</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37%</w:t>
            </w:r>
          </w:p>
        </w:tc>
      </w:tr>
    </w:tbl>
    <w:p>
      <w:pPr>
        <w:spacing w:before="36" w:after="16"/>
      </w:pPr>
      <w:r>
        <w:rPr>
          <w:rFonts w:ascii="Arial" w:cs="Arial" w:eastAsia="Arial" w:hAnsi="Arial"/>
          <w:b/>
          <w:bCs/>
          <w:color w:val="1B3A6B"/>
          <w:sz w:val="13"/>
          <w:szCs w:val="13"/>
        </w:rPr>
        <w:t xml:space="preserve">DISTRIBUCIÓN REGIONAL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760"/>
        <w:gridCol w:w="2760"/>
        <w:gridCol w:w="2760"/>
        <w:gridCol w:w="2760"/>
      </w:tblGrid>
      <w:tr>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Norteamérica</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Europa</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Asia/Emergentes</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Otros</w:t>
            </w:r>
          </w:p>
        </w:tc>
      </w:tr>
      <w:tr>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50%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20%</w:t>
            </w:r>
          </w:p>
        </w:tc>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25%</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5%</w:t>
            </w:r>
          </w:p>
        </w:tc>
      </w:tr>
    </w:tbl>
    <w:p>
      <w:pPr>
        <w:spacing w:before="36" w:after="16"/>
      </w:pPr>
      <w:r>
        <w:rPr>
          <w:rFonts w:ascii="Arial" w:cs="Arial" w:eastAsia="Arial" w:hAnsi="Arial"/>
          <w:b/>
          <w:bCs/>
          <w:color w:val="1B3A6B"/>
          <w:sz w:val="13"/>
          <w:szCs w:val="13"/>
        </w:rPr>
        <w:t xml:space="preserve">FORTALEZAS Y PUNTOS DE ATENCIÓN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5520"/>
        <w:gridCol w:w="5520"/>
      </w:tblGrid>
      <w:tr>
        <w:tc>
          <w:tcPr>
            <w:tcBorders>
              <w:top w:val="single" w:color="1A7A4A" w:sz="4"/>
              <w:left w:val="single" w:color="1A7A4A" w:sz="4"/>
              <w:bottom w:val="single" w:color="1A7A4A" w:sz="4"/>
              <w:right w:val="single" w:color="1A7A4A" w:sz="4"/>
            </w:tcBorders>
            <w:shd w:fill="1A7A4A"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FORTALEZAS</w:t>
            </w:r>
          </w:p>
        </w:tc>
        <w:tc>
          <w:tcPr>
            <w:tcBorders>
              <w:top w:val="single" w:color="C0392B" w:sz="4"/>
              <w:left w:val="single" w:color="C0392B" w:sz="4"/>
              <w:bottom w:val="single" w:color="C0392B" w:sz="4"/>
              <w:right w:val="single" w:color="C0392B" w:sz="4"/>
            </w:tcBorders>
            <w:shd w:fill="C0392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PUNTOS DE ATENCIÓN</w:t>
            </w:r>
          </w:p>
        </w:tc>
      </w:tr>
      <w:tr>
        <w:tc>
          <w:tcPr>
            <w:tcBorders>
              <w:top w:val="single" w:color="AAAAAA" w:sz="4"/>
              <w:left w:val="single" w:color="AAAAAA" w:sz="4"/>
              <w:bottom w:val="single" w:color="AAAAAA" w:sz="4"/>
              <w:right w:val="single" w:color="AAAAAA" w:sz="4"/>
            </w:tcBorders>
            <w:shd w:fill="D1FAE5" w:val="clear"/>
            <w:tcMar>
              <w:top w:type="dxa" w:w="50"/>
              <w:left w:type="dxa" w:w="90"/>
              <w:bottom w:type="dxa" w:w="50"/>
              <w:right w:type="dxa" w:w="90"/>
            </w:tcMar>
          </w:tcPr>
          <w:p>
            <w:pPr>
              <w:spacing w:before="15" w:after="15"/>
            </w:pPr>
            <w:r>
              <w:rPr>
                <w:rFonts w:ascii="Arial" w:cs="Arial" w:eastAsia="Arial" w:hAnsi="Arial"/>
                <w:sz w:val="13"/>
                <w:szCs w:val="13"/>
              </w:rPr>
              <w:t xml:space="preserve">• MEJOR rentabilidad 3 años entre flexibles (+10,92%)</w:t>
            </w:r>
          </w:p>
          <w:p>
            <w:pPr>
              <w:spacing w:before="15" w:after="15"/>
            </w:pPr>
            <w:r>
              <w:rPr>
                <w:rFonts w:ascii="Arial" w:cs="Arial" w:eastAsia="Arial" w:hAnsi="Arial"/>
                <w:sz w:val="13"/>
                <w:szCs w:val="13"/>
              </w:rPr>
              <w:t xml:space="preserve">• TER 0,73%: competitivo para flexible con gestión sofisticada</w:t>
            </w:r>
          </w:p>
          <w:p>
            <w:pPr>
              <w:spacing w:before="15" w:after="15"/>
            </w:pPr>
            <w:r>
              <w:rPr>
                <w:rFonts w:ascii="Arial" w:cs="Arial" w:eastAsia="Arial" w:hAnsi="Arial"/>
                <w:sz w:val="13"/>
                <w:szCs w:val="13"/>
              </w:rPr>
              <w:t xml:space="preserve">• Diversificación única: oro + Bitcoin como descorrelacionadores</w:t>
            </w:r>
          </w:p>
          <w:p>
            <w:pPr>
              <w:spacing w:before="15" w:after="15"/>
            </w:pPr>
            <w:r>
              <w:rPr>
                <w:rFonts w:ascii="Arial" w:cs="Arial" w:eastAsia="Arial" w:hAnsi="Arial"/>
                <w:sz w:val="13"/>
                <w:szCs w:val="13"/>
              </w:rPr>
              <w:t xml:space="preserve">• Algoritmo impasible: elimina sesgos emocionales sistemáticamente</w:t>
            </w:r>
          </w:p>
          <w:p>
            <w:pPr>
              <w:spacing w:before="15" w:after="15"/>
            </w:pPr>
            <w:r>
              <w:rPr>
                <w:rFonts w:ascii="Arial" w:cs="Arial" w:eastAsia="Arial" w:hAnsi="Arial"/>
                <w:sz w:val="13"/>
                <w:szCs w:val="13"/>
              </w:rPr>
              <w:t xml:space="preserve">• Recuperación poderosa: +13,2% (2023) y +14,8% (2024)</w:t>
            </w:r>
          </w:p>
        </w:tc>
        <w:tc>
          <w:tcPr>
            <w:tcBorders>
              <w:top w:val="single" w:color="AAAAAA" w:sz="4"/>
              <w:left w:val="single" w:color="AAAAAA" w:sz="4"/>
              <w:bottom w:val="single" w:color="AAAAAA" w:sz="4"/>
              <w:right w:val="single" w:color="AAAAAA" w:sz="4"/>
            </w:tcBorders>
            <w:shd w:fill="FEE2E2" w:val="clear"/>
            <w:tcMar>
              <w:top w:type="dxa" w:w="50"/>
              <w:left w:type="dxa" w:w="90"/>
              <w:bottom w:type="dxa" w:w="50"/>
              <w:right w:type="dxa" w:w="90"/>
            </w:tcMar>
          </w:tcPr>
          <w:p>
            <w:pPr>
              <w:spacing w:before="15" w:after="15"/>
            </w:pPr>
            <w:r>
              <w:rPr>
                <w:rFonts w:ascii="Arial" w:cs="Arial" w:eastAsia="Arial" w:hAnsi="Arial"/>
                <w:sz w:val="13"/>
                <w:szCs w:val="13"/>
              </w:rPr>
              <w:t xml:space="preserve">• Bitcoin (~5,5%): activo muy volátil que amplía drawdowns</w:t>
            </w:r>
          </w:p>
          <w:p>
            <w:pPr>
              <w:spacing w:before="15" w:after="15"/>
            </w:pPr>
            <w:r>
              <w:rPr>
                <w:rFonts w:ascii="Arial" w:cs="Arial" w:eastAsia="Arial" w:hAnsi="Arial"/>
                <w:sz w:val="13"/>
                <w:szCs w:val="13"/>
              </w:rPr>
              <w:t xml:space="preserve">• Caída -11,70% en 2022: la más severa entre fondos flexibles</w:t>
            </w:r>
          </w:p>
          <w:p>
            <w:pPr>
              <w:spacing w:before="15" w:after="15"/>
            </w:pPr>
            <w:r>
              <w:rPr>
                <w:rFonts w:ascii="Arial" w:cs="Arial" w:eastAsia="Arial" w:hAnsi="Arial"/>
                <w:sz w:val="13"/>
                <w:szCs w:val="13"/>
              </w:rPr>
              <w:t xml:space="preserve">• Beta 1,17: magnifica caídas en mercados bajistas</w:t>
            </w:r>
          </w:p>
          <w:p>
            <w:pPr>
              <w:spacing w:before="15" w:after="15"/>
            </w:pPr>
            <w:r>
              <w:rPr>
                <w:rFonts w:ascii="Arial" w:cs="Arial" w:eastAsia="Arial" w:hAnsi="Arial"/>
                <w:sz w:val="13"/>
                <w:szCs w:val="13"/>
              </w:rPr>
              <w:t xml:space="preserve">• Patrimonio reducido (25,91M€) con escala limitada</w:t>
            </w:r>
          </w:p>
        </w:tc>
      </w:tr>
    </w:tbl>
    <w:p>
      <w:pPr>
        <w:spacing w:before="36" w:after="16"/>
      </w:pPr>
      <w:r>
        <w:rPr>
          <w:rFonts w:ascii="Arial" w:cs="Arial" w:eastAsia="Arial" w:hAnsi="Arial"/>
          <w:b/>
          <w:bCs/>
          <w:color w:val="1B3A6B"/>
          <w:sz w:val="13"/>
          <w:szCs w:val="13"/>
        </w:rPr>
        <w:t xml:space="preserve">PRINCIPALES POSICIONES Y VALORACIÓN ANALÍTICA</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4195"/>
        <w:gridCol w:w="6845"/>
      </w:tblGrid>
      <w:tr>
        <w:tc>
          <w:tcPr>
            <w:tcBorders>
              <w:top w:val="single" w:color="CCCCCC" w:sz="4"/>
              <w:left w:val="single" w:color="CCCCCC" w:sz="4"/>
              <w:bottom w:val="single" w:color="CCCCCC" w:sz="4"/>
              <w:right w:val="single" w:color="CCCCCC" w:sz="4"/>
            </w:tcBorders>
            <w:shd w:fill="F2F4F7" w:val="clear"/>
            <w:tcMar>
              <w:top w:type="dxa" w:w="50"/>
              <w:left w:type="dxa" w:w="100"/>
              <w:bottom w:type="dxa" w:w="50"/>
              <w:right w:type="dxa" w:w="100"/>
            </w:tcMar>
          </w:tcPr>
          <w:p>
            <w:pPr>
              <w:spacing w:before="15" w:after="20"/>
            </w:pPr>
            <w:r>
              <w:rPr>
                <w:rFonts w:ascii="Arial" w:cs="Arial" w:eastAsia="Arial" w:hAnsi="Arial"/>
                <w:b/>
                <w:bCs/>
                <w:color w:val="1B3A6B"/>
                <w:sz w:val="14"/>
                <w:szCs w:val="14"/>
              </w:rPr>
              <w:t xml:space="preserve">TOP 5 POSICIONES</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iShares MSCI World ETF (~20%)</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Invesco Physical Gold ETC (~12%)</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Franklin Euro Short Duration (~8%)</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iShares MSCI Emerging Mkts (~8%)</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CoinShares Physical Bitcoin (~5,5%)</w:t>
            </w:r>
          </w:p>
        </w:tc>
        <w:tc>
          <w:tcPr>
            <w:tcBorders>
              <w:top w:val="single" w:color="CCCCCC" w:sz="4"/>
              <w:left w:val="single" w:color="CCCCCC" w:sz="4"/>
              <w:bottom w:val="single" w:color="CCCCCC" w:sz="4"/>
              <w:right w:val="single" w:color="CCCCCC" w:sz="4"/>
            </w:tcBorders>
            <w:shd w:fill="FFF8E7" w:val="clear"/>
            <w:tcMar>
              <w:top w:type="dxa" w:w="50"/>
              <w:left w:type="dxa" w:w="100"/>
              <w:bottom w:type="dxa" w:w="50"/>
              <w:right w:type="dxa" w:w="100"/>
            </w:tcMar>
          </w:tcPr>
          <w:p>
            <w:pPr>
              <w:spacing w:before="15" w:after="15"/>
            </w:pPr>
            <w:r>
              <w:rPr>
                <w:rFonts w:ascii="Arial" w:cs="Arial" w:eastAsia="Arial" w:hAnsi="Arial"/>
                <w:b/>
                <w:bCs/>
                <w:color w:val="1B3A6B"/>
                <w:sz w:val="14"/>
                <w:szCs w:val="14"/>
              </w:rPr>
              <w:t xml:space="preserve">ESTRATEGIA Y VALORACIÓN ANALÍTICA</w:t>
            </w:r>
          </w:p>
          <w:p>
            <w:pPr>
              <w:spacing w:before="0" w:after="15"/>
              <w:jc w:val="both"/>
            </w:pPr>
            <w:r>
              <w:rPr>
                <w:rFonts w:ascii="Arial" w:cs="Arial" w:eastAsia="Arial" w:hAnsi="Arial"/>
                <w:sz w:val="13"/>
                <w:szCs w:val="13"/>
              </w:rPr>
              <w:t xml:space="preserve">Algoritmo cuantitativo 'impasible': rebalanceo sistemático, volatilidad objetivo &lt;15%. Activos permanentes + temporales (momentum). Primer fondo español con Bitcoin estructural.</w:t>
            </w:r>
          </w:p>
          <w:p>
            <w:pPr>
              <w:spacing w:before="8" w:after="8"/>
            </w:pPr>
            <w:r>
              <w:rPr>
                <w:rFonts w:ascii="Arial" w:cs="Arial" w:eastAsia="Arial" w:hAnsi="Arial"/>
                <w:b/>
                <w:bCs/>
                <w:sz w:val="13"/>
                <w:szCs w:val="13"/>
              </w:rPr>
              <w:t xml:space="preserve">Rentabilidad esperada neta: </w:t>
            </w:r>
            <w:r>
              <w:rPr>
                <w:rFonts w:ascii="Arial" w:cs="Arial" w:eastAsia="Arial" w:hAnsi="Arial"/>
                <w:b/>
                <w:bCs/>
                <w:color w:val="1A7A4A"/>
                <w:sz w:val="13"/>
                <w:szCs w:val="13"/>
              </w:rPr>
              <w:t xml:space="preserve">7% – 11% neto/año</w:t>
            </w:r>
          </w:p>
          <w:p>
            <w:pPr>
              <w:spacing w:before="5" w:after="0"/>
              <w:jc w:val="both"/>
            </w:pPr>
            <w:r>
              <w:rPr>
                <w:rFonts w:ascii="Arial" w:cs="Arial" w:eastAsia="Arial" w:hAnsi="Arial"/>
                <w:i/>
                <w:iCs/>
                <w:color w:val="4A4A4A"/>
                <w:sz w:val="12"/>
                <w:szCs w:val="12"/>
              </w:rPr>
              <w:t xml:space="preserve">Concepto innovador, TER competitivo y buenos retornos a 3 años. La caída del -11,70% en 2022 y la exposición a Bitcoin elevan el riesgo real más allá de lo que sugiere la volatilidad histórica.</w:t>
            </w:r>
          </w:p>
        </w:tc>
      </w:tr>
    </w:tbl>
    <w:p>
      <w:pPr>
        <w:spacing w:before="36" w:after="16"/>
      </w:pPr>
      <w:r>
        <w:rPr>
          <w:rFonts w:ascii="Arial" w:cs="Arial" w:eastAsia="Arial" w:hAnsi="Arial"/>
          <w:b/>
          <w:bCs/>
          <w:color w:val="1B3A6B"/>
          <w:sz w:val="13"/>
          <w:szCs w:val="13"/>
        </w:rPr>
        <w:t xml:space="preserve">OBJETIVO DE LA INVERSIÓN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40"/>
      </w:tblGrid>
      <w:tr>
        <w:tc>
          <w:tcPr>
            <w:tcBorders>
              <w:top w:val="single" w:color="9999CC" w:sz="4"/>
              <w:left w:val="single" w:color="9999CC" w:sz="4"/>
              <w:bottom w:val="single" w:color="9999CC" w:sz="4"/>
              <w:right w:val="single" w:color="9999CC" w:sz="4"/>
            </w:tcBorders>
            <w:shd w:fill="EDE9FE" w:val="clear"/>
            <w:tcMar>
              <w:top w:type="dxa" w:w="55"/>
              <w:left w:type="dxa" w:w="130"/>
              <w:bottom w:type="dxa" w:w="55"/>
              <w:right w:type="dxa" w:w="130"/>
            </w:tcMar>
          </w:tcPr>
          <w:p>
            <w:pPr>
              <w:spacing w:before="10" w:after="15"/>
            </w:pPr>
            <w:r>
              <w:rPr>
                <w:rFonts w:ascii="Arial" w:cs="Arial" w:eastAsia="Arial" w:hAnsi="Arial"/>
                <w:b/>
                <w:bCs/>
                <w:color w:val="6D28D9"/>
                <w:sz w:val="14"/>
                <w:szCs w:val="14"/>
              </w:rPr>
              <w:t xml:space="preserve">🎯  OBJETIVO DE LA INVERSIÓN</w:t>
            </w:r>
          </w:p>
          <w:p>
            <w:pPr>
              <w:spacing w:before="0" w:after="0"/>
              <w:jc w:val="both"/>
            </w:pPr>
            <w:r>
              <w:rPr>
                <w:rFonts w:ascii="Arial" w:cs="Arial" w:eastAsia="Arial" w:hAnsi="Arial"/>
                <w:color w:val="4A4A4A"/>
                <w:sz w:val="13"/>
                <w:szCs w:val="13"/>
              </w:rPr>
              <w:t xml:space="preserve">Lograr una participación adecuada en los mercados alcistas y una cierta protección de capital en los mercados bajistas, gestionando con un objetivo de volatilidad inferior al 15% anual mediante reglas matemáticas predefinidas que pretenden conseguir rentabilidades satisfactorias a largo plazo. Invierte 40-100% en renta variable a través de IICs (principalmente ETFs de índices globales), y el resto en RF y/o materias primas. Combina 'activos permanentes' (RV global, REITs, oro físico, materias primas) con 'activos temporales' gestionados por momentum. Incluye exposición estructural a Bitcoin (~5-6%) como activo descorrelacionador. El 'algoritmo impasible' gestiona la liquidez de forma sistemática comprando más barato y vendiendo más caro que la posición promedio. (Fuente: impassivewealth.com / Andbank / Quefondos)</w:t>
            </w:r>
          </w:p>
        </w:tc>
      </w:tr>
    </w:tbl>
    <w:p>
      <w:r>
        <w:br w:type="page"/>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728"/>
        <w:gridCol w:w="3312"/>
      </w:tblGrid>
      <w:tr>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40" w:after="20"/>
            </w:pPr>
            <w:r>
              <w:rPr>
                <w:rFonts w:ascii="Arial" w:cs="Arial" w:eastAsia="Arial" w:hAnsi="Arial"/>
                <w:b/>
                <w:bCs/>
                <w:color w:val="FFFFFF"/>
                <w:sz w:val="22"/>
                <w:szCs w:val="22"/>
              </w:rPr>
              <w:t xml:space="preserve">7. Renta 4 Delta R FI</w:t>
            </w:r>
          </w:p>
          <w:p>
            <w:pPr>
              <w:spacing w:before="0" w:after="30"/>
            </w:pPr>
            <w:r>
              <w:rPr>
                <w:rFonts w:ascii="Arial" w:cs="Arial" w:eastAsia="Arial" w:hAnsi="Arial"/>
                <w:color w:val="CCDDFF"/>
                <w:sz w:val="14"/>
                <w:szCs w:val="14"/>
              </w:rPr>
              <w:t xml:space="preserve">ISIN: ES0173317035  ·  Mixto Flexible EUR Global  ·  SRRI: 4/7</w:t>
            </w:r>
          </w:p>
        </w:tc>
        <w:tc>
          <w:tcPr>
            <w:tcBorders>
              <w:top w:val="none" w:color="FFFFFF" w:sz="0"/>
              <w:left w:val="none" w:color="FFFFFF" w:sz="0"/>
              <w:bottom w:val="none" w:color="FFFFFF" w:sz="0"/>
              <w:right w:val="none" w:color="FFFFFF" w:sz="0"/>
            </w:tcBorders>
            <w:shd w:fill="1B3A6B" w:val="clear"/>
            <w:tcMar>
              <w:top w:type="dxa" w:w="50"/>
              <w:left w:type="dxa" w:w="80"/>
              <w:bottom w:type="dxa" w:w="50"/>
              <w:right w:type="dxa" w:w="80"/>
            </w:tcMar>
            <w:vAlign w:val="center"/>
          </w:tcPr>
          <w:p>
            <w:pPr>
              <w:spacing w:before="30" w:after="10"/>
              <w:jc w:val="center"/>
            </w:pPr>
            <w:r>
              <w:rPr>
                <w:rFonts w:ascii="Arial" w:cs="Arial" w:eastAsia="Arial" w:hAnsi="Arial"/>
                <w:color w:val="CCDDFF"/>
                <w:sz w:val="14"/>
                <w:szCs w:val="14"/>
              </w:rPr>
              <w:t xml:space="preserve">Mi Valoración</w:t>
            </w:r>
          </w:p>
          <w:p>
            <w:pPr>
              <w:spacing w:before="0" w:after="10"/>
              <w:jc w:val="center"/>
            </w:pPr>
            <w:r>
              <w:rPr>
                <w:rFonts w:ascii="Arial" w:cs="Arial" w:eastAsia="Arial" w:hAnsi="Arial"/>
                <w:color w:val="FFD700"/>
                <w:sz w:val="28"/>
                <w:szCs w:val="28"/>
              </w:rPr>
              <w:t xml:space="preserve">★★★★★</w:t>
            </w:r>
          </w:p>
          <w:p>
            <w:pPr>
              <w:spacing w:before="0" w:after="30"/>
              <w:jc w:val="center"/>
            </w:pPr>
            <w:r>
              <w:rPr>
                <w:rFonts w:ascii="Arial" w:cs="Arial" w:eastAsia="Arial" w:hAnsi="Arial"/>
                <w:i/>
                <w:iCs/>
                <w:color w:val="AABBDD"/>
                <w:sz w:val="12"/>
                <w:szCs w:val="12"/>
              </w:rPr>
              <w:t xml:space="preserve">Bronze (Morningstar)</w:t>
            </w:r>
          </w:p>
        </w:tc>
      </w:tr>
    </w:tbl>
    <w:p>
      <w:pPr>
        <w:spacing w:before="46" w:after="32"/>
      </w:pP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2700"/>
        <w:gridCol w:w="1000"/>
        <w:gridCol w:w="2100"/>
        <w:gridCol w:w="780"/>
        <w:gridCol w:w="1100"/>
        <w:gridCol w:w="640"/>
        <w:gridCol w:w="52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Gestora</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Renta 4 Gestora SGIIC S.A.</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Gestor/es</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Equipo Renta 4 (criterios ASG integrados)</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Inicio</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2"/>
                <w:szCs w:val="12"/>
              </w:rPr>
              <w:t xml:space="preserve">Aprox. 2010-2012</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TER</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1,00%</w:t>
            </w:r>
          </w:p>
        </w:tc>
      </w:tr>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Patrimonio</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9,19 M€ (jun 2025)</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3"/>
                <w:szCs w:val="13"/>
              </w:rPr>
              <w:t xml:space="preserve">Partícipes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315 (jun 2025, +29 sem.)</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2"/>
                <w:szCs w:val="12"/>
              </w:rPr>
              <w:t xml:space="preserve">MS★</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D97706"/>
                <w:sz w:val="14"/>
                <w:szCs w:val="14"/>
              </w:rPr>
              <w:t xml:space="preserv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Beta</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0,67</w:t>
            </w:r>
          </w:p>
        </w:tc>
      </w:tr>
    </w:tbl>
    <w:p>
      <w:pPr>
        <w:spacing w:before="36" w:after="16"/>
      </w:pPr>
      <w:r>
        <w:rPr>
          <w:rFonts w:ascii="Arial" w:cs="Arial" w:eastAsia="Arial" w:hAnsi="Arial"/>
          <w:b/>
          <w:bCs/>
          <w:color w:val="1B3A6B"/>
          <w:sz w:val="13"/>
          <w:szCs w:val="13"/>
        </w:rPr>
        <w:t xml:space="preserve">RENTABILIDADES HISTÓRICAS Y MÉTRICAS DE RIESGO</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0"/>
        <w:gridCol w:w="1100"/>
        <w:gridCol w:w="1100"/>
        <w:gridCol w:w="1300"/>
        <w:gridCol w:w="1100"/>
        <w:gridCol w:w="1200"/>
        <w:gridCol w:w="1400"/>
        <w:gridCol w:w="700"/>
        <w:gridCol w:w="640"/>
        <w:gridCol w:w="700"/>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1 año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3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5 años</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2022</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2023</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2024</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Volatilidad</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Sharpe</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Alfa</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+15,51%</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+11,07%</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+6,53%</w:t>
            </w:r>
          </w:p>
        </w:tc>
        <w:tc>
          <w:tcPr>
            <w:tcBorders>
              <w:top w:val="single" w:color="CCCCCC" w:sz="4"/>
              <w:left w:val="single" w:color="CCCCCC" w:sz="4"/>
              <w:bottom w:val="single" w:color="CCCCCC" w:sz="4"/>
              <w:right w:val="single" w:color="CCCCCC"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-4,57%</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+8,21%</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6A34A"/>
                <w:sz w:val="14"/>
                <w:szCs w:val="14"/>
              </w:rPr>
              <w:t xml:space="preserve">+17,80%</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4,77%</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1.64</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+4,16</w:t>
            </w:r>
          </w:p>
        </w:tc>
      </w:tr>
    </w:tbl>
    <w:p>
      <w:pPr>
        <w:spacing w:before="36" w:after="16"/>
      </w:pPr>
      <w:r>
        <w:rPr>
          <w:rFonts w:ascii="Arial" w:cs="Arial" w:eastAsia="Arial" w:hAnsi="Arial"/>
          <w:b/>
          <w:bCs/>
          <w:color w:val="1B3A6B"/>
          <w:sz w:val="13"/>
          <w:szCs w:val="13"/>
        </w:rPr>
        <w:t xml:space="preserve">DISTRIBUCIÓN DE ACTIVOS · RF LARGO PLAZO · METALES PRECIOSOS</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20"/>
        <w:gridCol w:w="780"/>
        <w:gridCol w:w="720"/>
        <w:gridCol w:w="780"/>
        <w:gridCol w:w="720"/>
        <w:gridCol w:w="780"/>
        <w:gridCol w:w="820"/>
        <w:gridCol w:w="1600"/>
        <w:gridCol w:w="820"/>
        <w:gridCol w:w="1600"/>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RV</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36,4% neto (48,4%L-12,1%C)</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RF</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37,3%</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Cash</w:t>
            </w:r>
          </w:p>
        </w:tc>
        <w:tc>
          <w:tcPr>
            <w:tcBorders>
              <w:top w:val="single" w:color="CCCCCC" w:sz="4"/>
              <w:left w:val="single" w:color="CCCCCC" w:sz="4"/>
              <w:bottom w:val="single" w:color="CCCCCC" w:sz="4"/>
              <w:right w:val="single" w:color="CCCCCC"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4"/>
                <w:szCs w:val="14"/>
              </w:rPr>
              <w:t xml:space="preserve">26,3%</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RF Largo Plazo</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~40% (mix Bund duración media)</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Metales Prec.</w:t>
            </w:r>
          </w:p>
        </w:tc>
        <w:tc>
          <w:tcPr>
            <w:tcBorders>
              <w:top w:val="single" w:color="AADDCC" w:sz="4"/>
              <w:left w:val="single" w:color="AADDCC" w:sz="4"/>
              <w:bottom w:val="single" w:color="AADDCC" w:sz="4"/>
              <w:right w:val="single" w:color="AADDCC" w:sz="4"/>
            </w:tcBorders>
            <w:shd w:fill="CCFBF1"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~4% (Hochschild minera)</w:t>
            </w:r>
          </w:p>
        </w:tc>
      </w:tr>
    </w:tbl>
    <w:p>
      <w:pPr>
        <w:spacing w:before="36" w:after="16"/>
      </w:pPr>
      <w:r>
        <w:rPr>
          <w:rFonts w:ascii="Arial" w:cs="Arial" w:eastAsia="Arial" w:hAnsi="Arial"/>
          <w:b/>
          <w:bCs/>
          <w:color w:val="1B3A6B"/>
          <w:sz w:val="13"/>
          <w:szCs w:val="13"/>
        </w:rPr>
        <w:t xml:space="preserve">DISTRIBUCIÓN SECTORIAL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2208"/>
        <w:gridCol w:w="2208"/>
        <w:gridCol w:w="2208"/>
        <w:gridCol w:w="2208"/>
        <w:gridCol w:w="2208"/>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Materiales/Minería</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Financiero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Industria</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Energía</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Consumo+Otros</w:t>
            </w:r>
          </w:p>
        </w:tc>
      </w:tr>
      <w:tr>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22%</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16%</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15%</w:t>
            </w:r>
          </w:p>
        </w:tc>
        <w:tc>
          <w:tcPr>
            <w:tcBorders>
              <w:top w:val="single" w:color="CCCCCC" w:sz="4"/>
              <w:left w:val="single" w:color="CCCCCC" w:sz="4"/>
              <w:bottom w:val="single" w:color="CCCCCC" w:sz="4"/>
              <w:right w:val="single" w:color="CCCCCC"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12%</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35%</w:t>
            </w:r>
          </w:p>
        </w:tc>
      </w:tr>
    </w:tbl>
    <w:p>
      <w:pPr>
        <w:spacing w:before="36" w:after="16"/>
      </w:pPr>
      <w:r>
        <w:rPr>
          <w:rFonts w:ascii="Arial" w:cs="Arial" w:eastAsia="Arial" w:hAnsi="Arial"/>
          <w:b/>
          <w:bCs/>
          <w:color w:val="1B3A6B"/>
          <w:sz w:val="13"/>
          <w:szCs w:val="13"/>
        </w:rPr>
        <w:t xml:space="preserve">DISTRIBUCIÓN REGIONAL DE LA RENTA VARIABLE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3680"/>
        <w:gridCol w:w="3680"/>
        <w:gridCol w:w="3680"/>
      </w:tblGrid>
      <w:tr>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Europa</w:t>
            </w:r>
          </w:p>
        </w:tc>
        <w:tc>
          <w:tcPr>
            <w:tcBorders>
              <w:top w:val="single" w:color="7C3AED" w:sz="4"/>
              <w:left w:val="single" w:color="7C3AED" w:sz="4"/>
              <w:bottom w:val="single" w:color="7C3AED" w:sz="4"/>
              <w:right w:val="single" w:color="7C3AED" w:sz="4"/>
            </w:tcBorders>
            <w:shd w:fill="7C3AE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Norteamérica</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2"/>
                <w:szCs w:val="12"/>
              </w:rPr>
              <w:t xml:space="preserve">Asia/Otras</w:t>
            </w:r>
          </w:p>
        </w:tc>
      </w:tr>
      <w:tr>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55%</w:t>
            </w:r>
          </w:p>
        </w:tc>
        <w:tc>
          <w:tcPr>
            <w:tcBorders>
              <w:top w:val="single" w:color="CCCCCC" w:sz="4"/>
              <w:left w:val="single" w:color="CCCCCC" w:sz="4"/>
              <w:bottom w:val="single" w:color="CCCCCC" w:sz="4"/>
              <w:right w:val="single" w:color="CCCCCC"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30%</w:t>
            </w:r>
          </w:p>
        </w:tc>
        <w:tc>
          <w:tcPr>
            <w:tcBorders>
              <w:top w:val="single" w:color="CCCCCC" w:sz="4"/>
              <w:left w:val="single" w:color="CCCCCC" w:sz="4"/>
              <w:bottom w:val="single" w:color="CCCCCC" w:sz="4"/>
              <w:right w:val="single" w:color="CCCCCC" w:sz="4"/>
            </w:tcBorders>
            <w:shd w:fill="EDE9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15%</w:t>
            </w:r>
          </w:p>
        </w:tc>
      </w:tr>
    </w:tbl>
    <w:p>
      <w:pPr>
        <w:spacing w:before="36" w:after="16"/>
      </w:pPr>
      <w:r>
        <w:rPr>
          <w:rFonts w:ascii="Arial" w:cs="Arial" w:eastAsia="Arial" w:hAnsi="Arial"/>
          <w:b/>
          <w:bCs/>
          <w:color w:val="1B3A6B"/>
          <w:sz w:val="13"/>
          <w:szCs w:val="13"/>
        </w:rPr>
        <w:t xml:space="preserve">FORTALEZAS Y PUNTOS DE ATENCIÓN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5520"/>
        <w:gridCol w:w="5520"/>
      </w:tblGrid>
      <w:tr>
        <w:tc>
          <w:tcPr>
            <w:tcBorders>
              <w:top w:val="single" w:color="1A7A4A" w:sz="4"/>
              <w:left w:val="single" w:color="1A7A4A" w:sz="4"/>
              <w:bottom w:val="single" w:color="1A7A4A" w:sz="4"/>
              <w:right w:val="single" w:color="1A7A4A" w:sz="4"/>
            </w:tcBorders>
            <w:shd w:fill="1A7A4A"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FORTALEZAS</w:t>
            </w:r>
          </w:p>
        </w:tc>
        <w:tc>
          <w:tcPr>
            <w:tcBorders>
              <w:top w:val="single" w:color="C0392B" w:sz="4"/>
              <w:left w:val="single" w:color="C0392B" w:sz="4"/>
              <w:bottom w:val="single" w:color="C0392B" w:sz="4"/>
              <w:right w:val="single" w:color="C0392B" w:sz="4"/>
            </w:tcBorders>
            <w:shd w:fill="C0392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  PUNTOS DE ATENCIÓN</w:t>
            </w:r>
          </w:p>
        </w:tc>
      </w:tr>
      <w:tr>
        <w:tc>
          <w:tcPr>
            <w:tcBorders>
              <w:top w:val="single" w:color="AAAAAA" w:sz="4"/>
              <w:left w:val="single" w:color="AAAAAA" w:sz="4"/>
              <w:bottom w:val="single" w:color="AAAAAA" w:sz="4"/>
              <w:right w:val="single" w:color="AAAAAA" w:sz="4"/>
            </w:tcBorders>
            <w:shd w:fill="D1FAE5" w:val="clear"/>
            <w:tcMar>
              <w:top w:type="dxa" w:w="50"/>
              <w:left w:type="dxa" w:w="90"/>
              <w:bottom w:type="dxa" w:w="50"/>
              <w:right w:type="dxa" w:w="90"/>
            </w:tcMar>
          </w:tcPr>
          <w:p>
            <w:pPr>
              <w:spacing w:before="15" w:after="15"/>
            </w:pPr>
            <w:r>
              <w:rPr>
                <w:rFonts w:ascii="Arial" w:cs="Arial" w:eastAsia="Arial" w:hAnsi="Arial"/>
                <w:sz w:val="13"/>
                <w:szCs w:val="13"/>
              </w:rPr>
              <w:t xml:space="preserve">• MEJOR Sharpe del universo completo (1,64): excepcional</w:t>
            </w:r>
          </w:p>
          <w:p>
            <w:pPr>
              <w:spacing w:before="15" w:after="15"/>
            </w:pPr>
            <w:r>
              <w:rPr>
                <w:rFonts w:ascii="Arial" w:cs="Arial" w:eastAsia="Arial" w:hAnsi="Arial"/>
                <w:sz w:val="13"/>
                <w:szCs w:val="13"/>
              </w:rPr>
              <w:t xml:space="preserve">• ÚNICO fondo con calificación Bronze Medalist (Morningstar)</w:t>
            </w:r>
          </w:p>
          <w:p>
            <w:pPr>
              <w:spacing w:before="15" w:after="15"/>
            </w:pPr>
            <w:r>
              <w:rPr>
                <w:rFonts w:ascii="Arial" w:cs="Arial" w:eastAsia="Arial" w:hAnsi="Arial"/>
                <w:sz w:val="13"/>
                <w:szCs w:val="13"/>
              </w:rPr>
              <w:t xml:space="preserve">• Solo -4,57% en 2022: mejor defensa en crisis entre flexibles</w:t>
            </w:r>
          </w:p>
          <w:p>
            <w:pPr>
              <w:spacing w:before="15" w:after="15"/>
            </w:pPr>
            <w:r>
              <w:rPr>
                <w:rFonts w:ascii="Arial" w:cs="Arial" w:eastAsia="Arial" w:hAnsi="Arial"/>
                <w:sz w:val="13"/>
                <w:szCs w:val="13"/>
              </w:rPr>
              <w:t xml:space="preserve">• Alfa +4,16 y rentabilidad 1 año +15,51% (mejor del grupo)</w:t>
            </w:r>
          </w:p>
          <w:p>
            <w:pPr>
              <w:spacing w:before="15" w:after="15"/>
            </w:pPr>
            <w:r>
              <w:rPr>
                <w:rFonts w:ascii="Arial" w:cs="Arial" w:eastAsia="Arial" w:hAnsi="Arial"/>
                <w:sz w:val="13"/>
                <w:szCs w:val="13"/>
              </w:rPr>
              <w:t xml:space="preserve">• Estrategia long/short: protección estructural en bajistas</w:t>
            </w:r>
          </w:p>
        </w:tc>
        <w:tc>
          <w:tcPr>
            <w:tcBorders>
              <w:top w:val="single" w:color="AAAAAA" w:sz="4"/>
              <w:left w:val="single" w:color="AAAAAA" w:sz="4"/>
              <w:bottom w:val="single" w:color="AAAAAA" w:sz="4"/>
              <w:right w:val="single" w:color="AAAAAA" w:sz="4"/>
            </w:tcBorders>
            <w:shd w:fill="FEE2E2" w:val="clear"/>
            <w:tcMar>
              <w:top w:type="dxa" w:w="50"/>
              <w:left w:type="dxa" w:w="90"/>
              <w:bottom w:type="dxa" w:w="50"/>
              <w:right w:type="dxa" w:w="90"/>
            </w:tcMar>
          </w:tcPr>
          <w:p>
            <w:pPr>
              <w:spacing w:before="15" w:after="15"/>
            </w:pPr>
            <w:r>
              <w:rPr>
                <w:rFonts w:ascii="Arial" w:cs="Arial" w:eastAsia="Arial" w:hAnsi="Arial"/>
                <w:sz w:val="13"/>
                <w:szCs w:val="13"/>
              </w:rPr>
              <w:t xml:space="preserve">• Patrimonio muy pequeño (9,19M€, 315 partícipes): riesgo escala</w:t>
            </w:r>
          </w:p>
          <w:p>
            <w:pPr>
              <w:spacing w:before="15" w:after="15"/>
            </w:pPr>
            <w:r>
              <w:rPr>
                <w:rFonts w:ascii="Arial" w:cs="Arial" w:eastAsia="Arial" w:hAnsi="Arial"/>
                <w:sz w:val="13"/>
                <w:szCs w:val="13"/>
              </w:rPr>
              <w:t xml:space="preserve">• Gestor no identificado públicamente: opacidad en decisiones</w:t>
            </w:r>
          </w:p>
          <w:p>
            <w:pPr>
              <w:spacing w:before="15" w:after="15"/>
            </w:pPr>
            <w:r>
              <w:rPr>
                <w:rFonts w:ascii="Arial" w:cs="Arial" w:eastAsia="Arial" w:hAnsi="Arial"/>
                <w:sz w:val="13"/>
                <w:szCs w:val="13"/>
              </w:rPr>
              <w:t xml:space="preserve">• Uso de derivados: complejidad y riesgo operativo adicional</w:t>
            </w:r>
          </w:p>
          <w:p>
            <w:pPr>
              <w:spacing w:before="15" w:after="15"/>
            </w:pPr>
            <w:r>
              <w:rPr>
                <w:rFonts w:ascii="Arial" w:cs="Arial" w:eastAsia="Arial" w:hAnsi="Arial"/>
                <w:sz w:val="13"/>
                <w:szCs w:val="13"/>
              </w:rPr>
              <w:t xml:space="preserve">• Modelo ASG puede limitar universo en fases de mercado concretas</w:t>
            </w:r>
          </w:p>
        </w:tc>
      </w:tr>
    </w:tbl>
    <w:p>
      <w:pPr>
        <w:spacing w:before="36" w:after="16"/>
      </w:pPr>
      <w:r>
        <w:rPr>
          <w:rFonts w:ascii="Arial" w:cs="Arial" w:eastAsia="Arial" w:hAnsi="Arial"/>
          <w:b/>
          <w:bCs/>
          <w:color w:val="1B3A6B"/>
          <w:sz w:val="13"/>
          <w:szCs w:val="13"/>
        </w:rPr>
        <w:t xml:space="preserve">PRINCIPALES POSICIONES Y VALORACIÓN ANALÍTICA</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4195"/>
        <w:gridCol w:w="6845"/>
      </w:tblGrid>
      <w:tr>
        <w:tc>
          <w:tcPr>
            <w:tcBorders>
              <w:top w:val="single" w:color="CCCCCC" w:sz="4"/>
              <w:left w:val="single" w:color="CCCCCC" w:sz="4"/>
              <w:bottom w:val="single" w:color="CCCCCC" w:sz="4"/>
              <w:right w:val="single" w:color="CCCCCC" w:sz="4"/>
            </w:tcBorders>
            <w:shd w:fill="F2F4F7" w:val="clear"/>
            <w:tcMar>
              <w:top w:type="dxa" w:w="50"/>
              <w:left w:type="dxa" w:w="100"/>
              <w:bottom w:type="dxa" w:w="50"/>
              <w:right w:type="dxa" w:w="100"/>
            </w:tcMar>
          </w:tcPr>
          <w:p>
            <w:pPr>
              <w:spacing w:before="15" w:after="20"/>
            </w:pPr>
            <w:r>
              <w:rPr>
                <w:rFonts w:ascii="Arial" w:cs="Arial" w:eastAsia="Arial" w:hAnsi="Arial"/>
                <w:b/>
                <w:bCs/>
                <w:color w:val="1B3A6B"/>
                <w:sz w:val="14"/>
                <w:szCs w:val="14"/>
              </w:rPr>
              <w:t xml:space="preserve">TOP 5 POSICIONES</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Futuro Bund (cobertura RF, ~15% nocional)</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Hochschild Mining (RV, ~4%)</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Futuro Russell 2000 small cap (~8%)</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FlatexDEGIRO (fintech, ~3%)</w:t>
            </w:r>
          </w:p>
          <w:p>
            <w:pPr>
              <w:spacing w:before="10" w:after="10"/>
            </w:pPr>
            <w:r>
              <w:rPr>
                <w:rFonts w:ascii="Arial" w:cs="Arial" w:eastAsia="Arial" w:hAnsi="Arial"/>
                <w:color w:val="2E5FA3"/>
                <w:sz w:val="13"/>
                <w:szCs w:val="13"/>
              </w:rPr>
              <w:t xml:space="preserve">■ </w:t>
            </w:r>
            <w:r>
              <w:rPr>
                <w:rFonts w:ascii="Arial" w:cs="Arial" w:eastAsia="Arial" w:hAnsi="Arial"/>
                <w:sz w:val="13"/>
                <w:szCs w:val="13"/>
              </w:rPr>
              <w:t xml:space="preserve">Banco Santander (~3%)</w:t>
            </w:r>
          </w:p>
        </w:tc>
        <w:tc>
          <w:tcPr>
            <w:tcBorders>
              <w:top w:val="single" w:color="CCCCCC" w:sz="4"/>
              <w:left w:val="single" w:color="CCCCCC" w:sz="4"/>
              <w:bottom w:val="single" w:color="CCCCCC" w:sz="4"/>
              <w:right w:val="single" w:color="CCCCCC" w:sz="4"/>
            </w:tcBorders>
            <w:shd w:fill="FFF8E7" w:val="clear"/>
            <w:tcMar>
              <w:top w:type="dxa" w:w="50"/>
              <w:left w:type="dxa" w:w="100"/>
              <w:bottom w:type="dxa" w:w="50"/>
              <w:right w:type="dxa" w:w="100"/>
            </w:tcMar>
          </w:tcPr>
          <w:p>
            <w:pPr>
              <w:spacing w:before="15" w:after="15"/>
            </w:pPr>
            <w:r>
              <w:rPr>
                <w:rFonts w:ascii="Arial" w:cs="Arial" w:eastAsia="Arial" w:hAnsi="Arial"/>
                <w:b/>
                <w:bCs/>
                <w:color w:val="1B3A6B"/>
                <w:sz w:val="14"/>
                <w:szCs w:val="14"/>
              </w:rPr>
              <w:t xml:space="preserve">ESTRATEGIA Y VALORACIÓN ANALÍTICA</w:t>
            </w:r>
          </w:p>
          <w:p>
            <w:pPr>
              <w:spacing w:before="0" w:after="15"/>
              <w:jc w:val="both"/>
            </w:pPr>
            <w:r>
              <w:rPr>
                <w:rFonts w:ascii="Arial" w:cs="Arial" w:eastAsia="Arial" w:hAnsi="Arial"/>
                <w:sz w:val="13"/>
                <w:szCs w:val="13"/>
              </w:rPr>
              <w:t xml:space="preserve">Flexible long/short con integración ASG activa. RV neta ~36% (48% largo - 12% corto). Uso de derivados (futuros sobre índices) para cobertura sistemática. ASG score 62/100.</w:t>
            </w:r>
          </w:p>
          <w:p>
            <w:pPr>
              <w:spacing w:before="8" w:after="8"/>
            </w:pPr>
            <w:r>
              <w:rPr>
                <w:rFonts w:ascii="Arial" w:cs="Arial" w:eastAsia="Arial" w:hAnsi="Arial"/>
                <w:b/>
                <w:bCs/>
                <w:sz w:val="13"/>
                <w:szCs w:val="13"/>
              </w:rPr>
              <w:t xml:space="preserve">Rentabilidad esperada neta: </w:t>
            </w:r>
            <w:r>
              <w:rPr>
                <w:rFonts w:ascii="Arial" w:cs="Arial" w:eastAsia="Arial" w:hAnsi="Arial"/>
                <w:b/>
                <w:bCs/>
                <w:color w:val="1A7A4A"/>
                <w:sz w:val="13"/>
                <w:szCs w:val="13"/>
              </w:rPr>
              <w:t xml:space="preserve">7% – 12% neto/año</w:t>
            </w:r>
          </w:p>
          <w:p>
            <w:pPr>
              <w:spacing w:before="5" w:after="0"/>
              <w:jc w:val="both"/>
            </w:pPr>
            <w:r>
              <w:rPr>
                <w:rFonts w:ascii="Arial" w:cs="Arial" w:eastAsia="Arial" w:hAnsi="Arial"/>
                <w:i/>
                <w:iCs/>
                <w:color w:val="4A4A4A"/>
                <w:sz w:val="12"/>
                <w:szCs w:val="12"/>
              </w:rPr>
              <w:t xml:space="preserve">El fondo más eficiente del universo. Sharpe 1,64 excepcional, Bronze Medalist, caída contenida en 2022 y mejor 1 año. El pequeño patrimonio es el único factor de atención. Candidato claro a mejor fondo del análisis.</w:t>
            </w:r>
          </w:p>
        </w:tc>
      </w:tr>
    </w:tbl>
    <w:p>
      <w:pPr>
        <w:spacing w:before="36" w:after="16"/>
      </w:pPr>
      <w:r>
        <w:rPr>
          <w:rFonts w:ascii="Arial" w:cs="Arial" w:eastAsia="Arial" w:hAnsi="Arial"/>
          <w:b/>
          <w:bCs/>
          <w:color w:val="1B3A6B"/>
          <w:sz w:val="13"/>
          <w:szCs w:val="13"/>
        </w:rPr>
        <w:t xml:space="preserve">OBJETIVO DE LA INVERSIÓN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1040"/>
      </w:tblGrid>
      <w:tr>
        <w:tc>
          <w:tcPr>
            <w:tcBorders>
              <w:top w:val="single" w:color="9999CC" w:sz="4"/>
              <w:left w:val="single" w:color="9999CC" w:sz="4"/>
              <w:bottom w:val="single" w:color="9999CC" w:sz="4"/>
              <w:right w:val="single" w:color="9999CC" w:sz="4"/>
            </w:tcBorders>
            <w:shd w:fill="EDE9FE" w:val="clear"/>
            <w:tcMar>
              <w:top w:type="dxa" w:w="55"/>
              <w:left w:type="dxa" w:w="130"/>
              <w:bottom w:type="dxa" w:w="55"/>
              <w:right w:type="dxa" w:w="130"/>
            </w:tcMar>
          </w:tcPr>
          <w:p>
            <w:pPr>
              <w:spacing w:before="10" w:after="15"/>
            </w:pPr>
            <w:r>
              <w:rPr>
                <w:rFonts w:ascii="Arial" w:cs="Arial" w:eastAsia="Arial" w:hAnsi="Arial"/>
                <w:b/>
                <w:bCs/>
                <w:color w:val="6D28D9"/>
                <w:sz w:val="14"/>
                <w:szCs w:val="14"/>
              </w:rPr>
              <w:t xml:space="preserve">🎯  OBJETIVO DE LA INVERSIÓN</w:t>
            </w:r>
          </w:p>
          <w:p>
            <w:pPr>
              <w:spacing w:before="0" w:after="0"/>
              <w:jc w:val="both"/>
            </w:pPr>
            <w:r>
              <w:rPr>
                <w:rFonts w:ascii="Arial" w:cs="Arial" w:eastAsia="Arial" w:hAnsi="Arial"/>
                <w:color w:val="4A4A4A"/>
                <w:sz w:val="13"/>
                <w:szCs w:val="13"/>
              </w:rPr>
              <w:t xml:space="preserve">Fondo flexible que invierte entre 0-100% en renta variable y/o renta fija pública/privada, pudiendo invertir hasta el 30% en instrumentos financieros ligados a materias primas. Exposición a riesgo divisa del 0-100%. Además de criterios financieros tradicionales, aplica criterios extrafinancieros ASG de Inversión Socialmente Responsable (reducción del impacto medioambiental, utilización eficiente de recursos, defensa de derechos humanos, reducción de desigualdades), mediante criterios excluyentes y valorativos, con puntuación de sostenibilidad histórica de 62/100 en escala Morningstar. Utiliza posiciones largas y cortas en renta variable (mediante futuros sobre índices) para gestionar la exposición neta de forma activa. La calificación Bronze Medalist de Morningstar (única en el universo analizado) confirma la solidez del proceso de inversión y la competencia del equipo. (Fuente: Renta 4 / CNMV / Morningstar)</w:t>
            </w:r>
          </w:p>
        </w:tc>
      </w:tr>
    </w:tbl>
    <w:p>
      <w:r>
        <w:br w:type="page"/>
      </w:r>
    </w:p>
    <w:p>
      <w:pPr>
        <w:sectPr>
          <w:pgSz w:w="12240" w:h="15840" w:orient="portrait"/>
          <w:pgMar w:top="600" w:right="600" w:bottom="600" w:left="600" w:header="708" w:footer="708" w:gutter="0"/>
          <w:pgNumType/>
          <w:docGrid w:linePitch="360"/>
        </w:sectPr>
      </w:pPr>
    </w:p>
    <w:p>
      <w:pPr>
        <w:pStyle w:val="Heading1"/>
      </w:pPr>
      <w:r>
        <w:rPr>
          <w:rFonts w:ascii="Arial" w:cs="Arial" w:eastAsia="Arial" w:hAnsi="Arial"/>
          <w:b/>
          <w:bCs/>
        </w:rPr>
        <w:t xml:space="preserve">4. Conclusiones y Carteras Recomendadas</w:t>
      </w:r>
    </w:p>
    <w:p>
      <w:pPr>
        <w:spacing w:before="50" w:after="50"/>
        <w:jc w:val="both"/>
      </w:pPr>
      <w:r>
        <w:rPr>
          <w:rFonts w:ascii="Arial" w:cs="Arial" w:eastAsia="Arial" w:hAnsi="Arial"/>
          <w:sz w:val="20"/>
          <w:szCs w:val="20"/>
        </w:rPr>
        <w:t xml:space="preserve">El análisis comparativo de los 7 fondos revela conclusiones claras. El ratio de Sharpe, el comportamiento en 2022 y el TER son los tres ejes que mejor discriminan la calidad real de cada vehículo.</w:t>
      </w:r>
    </w:p>
    <w:p>
      <w:pPr>
        <w:pStyle w:val="Heading2"/>
        <w:spacing w:before="90" w:after="30"/>
      </w:pPr>
      <w:r>
        <w:rPr>
          <w:rFonts w:ascii="Arial" w:cs="Arial" w:eastAsia="Arial" w:hAnsi="Arial"/>
          <w:b/>
          <w:bCs/>
          <w:color w:val="2E5FA3"/>
          <w:sz w:val="22"/>
          <w:szCs w:val="22"/>
        </w:rPr>
        <w:t xml:space="preserve">Hallazgos Principales</w:t>
      </w:r>
    </w:p>
    <w:p>
      <w:pPr>
        <w:spacing w:before="50" w:after="50"/>
        <w:jc w:val="both"/>
      </w:pPr>
      <w:r>
        <w:rPr>
          <w:rFonts w:ascii="Arial" w:cs="Arial" w:eastAsia="Arial" w:hAnsi="Arial"/>
          <w:sz w:val="19"/>
          <w:szCs w:val="19"/>
        </w:rPr>
        <w:t xml:space="preserve">El </w:t>
      </w:r>
      <w:r>
        <w:rPr>
          <w:rFonts w:ascii="Arial" w:cs="Arial" w:eastAsia="Arial" w:hAnsi="Arial"/>
          <w:b/>
          <w:bCs/>
          <w:sz w:val="19"/>
          <w:szCs w:val="19"/>
        </w:rPr>
        <w:t xml:space="preserve">Renta 4 Delta R FI</w:t>
      </w:r>
      <w:r>
        <w:rPr>
          <w:rFonts w:ascii="Arial" w:cs="Arial" w:eastAsia="Arial" w:hAnsi="Arial"/>
          <w:sz w:val="19"/>
          <w:szCs w:val="19"/>
        </w:rPr>
        <w:t xml:space="preserve"> es el más eficiente con diferencia: Sharpe 1,64, Bronze Medalist y solo -4,57% en 2022. El </w:t>
      </w:r>
      <w:r>
        <w:rPr>
          <w:rFonts w:ascii="Arial" w:cs="Arial" w:eastAsia="Arial" w:hAnsi="Arial"/>
          <w:b/>
          <w:bCs/>
          <w:sz w:val="19"/>
          <w:szCs w:val="19"/>
        </w:rPr>
        <w:t xml:space="preserve">Cobas Renta FI</w:t>
      </w:r>
      <w:r>
        <w:rPr>
          <w:rFonts w:ascii="Arial" w:cs="Arial" w:eastAsia="Arial" w:hAnsi="Arial"/>
          <w:sz w:val="19"/>
          <w:szCs w:val="19"/>
        </w:rPr>
        <w:t xml:space="preserve"> es el más eficiente en costes (TER 0,31%) y el único defensivo positivo en 2022 con Sharpe superior a 1. El </w:t>
      </w:r>
      <w:r>
        <w:rPr>
          <w:rFonts w:ascii="Arial" w:cs="Arial" w:eastAsia="Arial" w:hAnsi="Arial"/>
          <w:b/>
          <w:bCs/>
          <w:sz w:val="19"/>
          <w:szCs w:val="19"/>
        </w:rPr>
        <w:t xml:space="preserve">BL-Global 50</w:t>
      </w:r>
      <w:r>
        <w:rPr>
          <w:rFonts w:ascii="Arial" w:cs="Arial" w:eastAsia="Arial" w:hAnsi="Arial"/>
          <w:sz w:val="19"/>
          <w:szCs w:val="19"/>
        </w:rPr>
        <w:t xml:space="preserve"> ofrece el mejor historial de largo plazo (casi 30 años) con 22% en oro. El </w:t>
      </w:r>
      <w:r>
        <w:rPr>
          <w:rFonts w:ascii="Arial" w:cs="Arial" w:eastAsia="Arial" w:hAnsi="Arial"/>
          <w:b/>
          <w:bCs/>
          <w:sz w:val="19"/>
          <w:szCs w:val="19"/>
        </w:rPr>
        <w:t xml:space="preserve">Baelo Patrimonio</w:t>
      </w:r>
      <w:r>
        <w:rPr>
          <w:rFonts w:ascii="Arial" w:cs="Arial" w:eastAsia="Arial" w:hAnsi="Arial"/>
          <w:sz w:val="19"/>
          <w:szCs w:val="19"/>
        </w:rPr>
        <w:t xml:space="preserve"> presenta el Sharpe más bajo (0,70) y alfa negativo pese a su muy bajo TER (0,39%).</w:t>
      </w:r>
    </w:p>
    <w:p>
      <w:pPr>
        <w:pStyle w:val="Heading2"/>
        <w:spacing w:before="90" w:after="30"/>
      </w:pPr>
      <w:r>
        <w:rPr>
          <w:rFonts w:ascii="Arial" w:cs="Arial" w:eastAsia="Arial" w:hAnsi="Arial"/>
          <w:b/>
          <w:bCs/>
          <w:color w:val="2E5FA3"/>
          <w:sz w:val="22"/>
          <w:szCs w:val="22"/>
        </w:rPr>
        <w:t xml:space="preserve">🛡️  Cartera 1 — Inversor Prudente</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Borders>
              <w:top w:val="single" w:color="1A7A4A" w:sz="4"/>
              <w:left w:val="single" w:color="1A7A4A" w:sz="4"/>
              <w:bottom w:val="single" w:color="1A7A4A" w:sz="4"/>
              <w:right w:val="single" w:color="1A7A4A" w:sz="4"/>
            </w:tcBorders>
            <w:shd w:fill="D1FAE5" w:val="clear"/>
            <w:tcMar>
              <w:top w:type="dxa" w:w="60"/>
              <w:left w:type="dxa" w:w="160"/>
              <w:bottom w:type="dxa" w:w="60"/>
              <w:right w:type="dxa" w:w="160"/>
            </w:tcMar>
          </w:tcPr>
          <w:p>
            <w:pPr>
              <w:spacing w:before="0" w:after="0"/>
            </w:pPr>
            <w:r>
              <w:rPr>
                <w:rFonts w:ascii="Arial" w:cs="Arial" w:eastAsia="Arial" w:hAnsi="Arial"/>
                <w:b/>
                <w:bCs/>
                <w:color w:val="1A7A4A"/>
                <w:sz w:val="18"/>
                <w:szCs w:val="18"/>
              </w:rPr>
              <w:t xml:space="preserve">🛡️ Inversor Prudente: </w:t>
            </w:r>
            <w:r>
              <w:rPr>
                <w:rFonts w:ascii="Arial" w:cs="Arial" w:eastAsia="Arial" w:hAnsi="Arial"/>
                <w:color w:val="4A4A4A"/>
                <w:sz w:val="17"/>
                <w:szCs w:val="17"/>
              </w:rPr>
              <w:t xml:space="preserve">Objetivo: diversificación máxima, protección del patrimonio y batir consistentemente la inflación con el menor riesgo posible.</w:t>
            </w:r>
          </w:p>
        </w:tc>
      </w:tr>
    </w:tbl>
    <w:p>
      <w:pPr>
        <w:spacing w:before="0" w:after="0"/>
      </w:pPr>
      <w:r>
        <w:rPr>
          <w:rFonts w:ascii="Arial" w:cs="Arial" w:eastAsia="Arial" w:hAnsi="Arial"/>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3550"/>
        <w:gridCol w:w="1357"/>
        <w:gridCol w:w="5533"/>
      </w:tblGrid>
      <w:t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Fondo</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4"/>
                <w:szCs w:val="14"/>
              </w:rPr>
              <w:t xml:space="preserve">Peso</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Rol en la cartera</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Cobas Renta FI (50%)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50%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Ancla de bajo coste y baja volatilidad (2,99%). TER 0,31%, positivo en 2022 (+3,89%). Protege el capital en cualquier entorno. Sharpe 1,25.</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Myinvestor Cartera Permanente FI (50%)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50%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Cobertura de inflación vía oro estructural (~30%) y bonos soberanos largos (~85% RF). Filosofía Harry Browne: el oro sube en crisis inflacionaria y geopolítica.</w:t>
            </w:r>
          </w:p>
        </w:tc>
      </w:tr>
    </w:tbl>
    <w:p>
      <w:pPr>
        <w:spacing w:before="0" w:after="0"/>
      </w:pPr>
      <w:r>
        <w:rPr>
          <w:rFonts w:ascii="Arial" w:cs="Arial" w:eastAsia="Arial" w:hAnsi="Arial"/>
        </w:rPr>
        <w:t xml:space="preserve"/>
      </w:r>
    </w:p>
    <w:p>
      <w:pPr>
        <w:spacing w:before="50" w:after="50"/>
        <w:jc w:val="both"/>
      </w:pPr>
      <w:r>
        <w:rPr>
          <w:rFonts w:ascii="Arial" w:cs="Arial" w:eastAsia="Arial" w:hAnsi="Arial"/>
          <w:i/>
          <w:iCs/>
          <w:color w:val="4A4A4A"/>
          <w:sz w:val="18"/>
          <w:szCs w:val="18"/>
        </w:rPr>
        <w:t xml:space="preserve">Rentabilidad esperada neta conjunta: 5-7% anual con volatilidad &lt;5%. Cobas aporta estabilidad y eficiencia en costes; Myinvestor CP aporta cobertura de inflación real y protección de poder adquisitivo.</w:t>
      </w:r>
    </w:p>
    <w:p>
      <w:pPr>
        <w:pStyle w:val="Heading2"/>
        <w:spacing w:before="90" w:after="30"/>
      </w:pPr>
      <w:r>
        <w:rPr>
          <w:rFonts w:ascii="Arial" w:cs="Arial" w:eastAsia="Arial" w:hAnsi="Arial"/>
          <w:b/>
          <w:bCs/>
          <w:color w:val="2E5FA3"/>
          <w:sz w:val="22"/>
          <w:szCs w:val="22"/>
        </w:rPr>
        <w:t xml:space="preserve">📈  Cartera 2 — Inversor Decidido</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Borders>
              <w:top w:val="single" w:color="D97706" w:sz="4"/>
              <w:left w:val="single" w:color="D97706" w:sz="4"/>
              <w:bottom w:val="single" w:color="D97706" w:sz="4"/>
              <w:right w:val="single" w:color="D97706" w:sz="4"/>
            </w:tcBorders>
            <w:shd w:fill="FFF3CD" w:val="clear"/>
            <w:tcMar>
              <w:top w:type="dxa" w:w="60"/>
              <w:left w:type="dxa" w:w="160"/>
              <w:bottom w:type="dxa" w:w="60"/>
              <w:right w:type="dxa" w:w="160"/>
            </w:tcMar>
          </w:tcPr>
          <w:p>
            <w:pPr>
              <w:spacing w:before="0" w:after="0"/>
            </w:pPr>
            <w:r>
              <w:rPr>
                <w:rFonts w:ascii="Arial" w:cs="Arial" w:eastAsia="Arial" w:hAnsi="Arial"/>
                <w:b/>
                <w:bCs/>
                <w:color w:val="D97706"/>
                <w:sz w:val="18"/>
                <w:szCs w:val="18"/>
              </w:rPr>
              <w:t xml:space="preserve">📈 Inversor Decidido: </w:t>
            </w:r>
            <w:r>
              <w:rPr>
                <w:rFonts w:ascii="Arial" w:cs="Arial" w:eastAsia="Arial" w:hAnsi="Arial"/>
                <w:color w:val="4A4A4A"/>
                <w:sz w:val="17"/>
                <w:szCs w:val="17"/>
              </w:rPr>
              <w:t xml:space="preserve">Objetivo: mejor relación rentabilidad/riesgo posible. Acepta mayor volatilidad si la rentabilidad esperada lo justifica.</w:t>
            </w:r>
          </w:p>
        </w:tc>
      </w:tr>
    </w:tbl>
    <w:p>
      <w:pPr>
        <w:spacing w:before="0" w:after="0"/>
      </w:pPr>
      <w:r>
        <w:rPr>
          <w:rFonts w:ascii="Arial" w:cs="Arial" w:eastAsia="Arial" w:hAnsi="Arial"/>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3550"/>
        <w:gridCol w:w="1357"/>
        <w:gridCol w:w="5533"/>
      </w:tblGrid>
      <w:tr>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Fondo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4"/>
                <w:szCs w:val="14"/>
              </w:rPr>
              <w:t xml:space="preserve">Peso</w:t>
            </w:r>
          </w:p>
        </w:tc>
        <w:tc>
          <w:tcPr>
            <w:tcBorders>
              <w:top w:val="single" w:color="2E5FA3" w:sz="4"/>
              <w:left w:val="single" w:color="2E5FA3" w:sz="4"/>
              <w:bottom w:val="single" w:color="2E5FA3" w:sz="4"/>
              <w:right w:val="single" w:color="2E5FA3" w:sz="4"/>
            </w:tcBorders>
            <w:shd w:fill="2E5FA3"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Rol en la cartera</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Renta 4 Delta R FI (60%)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2E5FA3"/>
                <w:sz w:val="14"/>
                <w:szCs w:val="14"/>
              </w:rPr>
              <w:t xml:space="preserve">60%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Motor principal: Sharpe 1,64, Bronze Medalist, -4,57% en 2022. La estrategia long/short gestiona el riesgo a la baja de forma activa y sistemática.</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BL-Global 50 B EUR (40%)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2E5FA3"/>
                <w:sz w:val="14"/>
                <w:szCs w:val="14"/>
              </w:rPr>
              <w:t xml:space="preserve">40%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Complemento diversificador: 22% en oro/plata + 30 años de historial. Alfa +4,10 y Beta 0,43: exposición de calidad con máxima amortiguación de caídas.</w:t>
            </w:r>
          </w:p>
        </w:tc>
      </w:tr>
    </w:tbl>
    <w:p>
      <w:pPr>
        <w:spacing w:before="0" w:after="0"/>
      </w:pPr>
      <w:r>
        <w:rPr>
          <w:rFonts w:ascii="Arial" w:cs="Arial" w:eastAsia="Arial" w:hAnsi="Arial"/>
        </w:rPr>
        <w:t xml:space="preserve"/>
      </w:r>
    </w:p>
    <w:p>
      <w:pPr>
        <w:spacing w:before="50" w:after="50"/>
        <w:jc w:val="both"/>
      </w:pPr>
      <w:r>
        <w:rPr>
          <w:rFonts w:ascii="Arial" w:cs="Arial" w:eastAsia="Arial" w:hAnsi="Arial"/>
          <w:i/>
          <w:iCs/>
          <w:color w:val="4A4A4A"/>
          <w:sz w:val="18"/>
          <w:szCs w:val="18"/>
        </w:rPr>
        <w:t xml:space="preserve">Rentabilidad neta esperada conjunta: 8-11% con volatilidad estimada 5-6%. Delta R aporta el motor eficiente; BL-Global 50 añade descorrelación vía oro y RV de alta calidad con beta muy baja.</w:t>
      </w:r>
    </w:p>
    <w:p>
      <w:pPr>
        <w:pStyle w:val="Heading2"/>
        <w:spacing w:before="90" w:after="30"/>
      </w:pPr>
      <w:r>
        <w:rPr>
          <w:rFonts w:ascii="Arial" w:cs="Arial" w:eastAsia="Arial" w:hAnsi="Arial"/>
          <w:b/>
          <w:bCs/>
          <w:color w:val="2E5FA3"/>
          <w:sz w:val="22"/>
          <w:szCs w:val="22"/>
        </w:rPr>
        <w:t xml:space="preserve">⚖️  Cartera 3 — Inversor Intermedio Diversificado (3 fondos)</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Borders>
              <w:top w:val="single" w:color="2E5FA3" w:sz="4"/>
              <w:left w:val="single" w:color="2E5FA3" w:sz="4"/>
              <w:bottom w:val="single" w:color="2E5FA3" w:sz="4"/>
              <w:right w:val="single" w:color="2E5FA3" w:sz="4"/>
            </w:tcBorders>
            <w:shd w:fill="DBEAFE" w:val="clear"/>
            <w:tcMar>
              <w:top w:type="dxa" w:w="60"/>
              <w:left w:type="dxa" w:w="160"/>
              <w:bottom w:type="dxa" w:w="60"/>
              <w:right w:type="dxa" w:w="160"/>
            </w:tcMar>
          </w:tcPr>
          <w:p>
            <w:pPr>
              <w:spacing w:before="0" w:after="0"/>
            </w:pPr>
            <w:r>
              <w:rPr>
                <w:rFonts w:ascii="Arial" w:cs="Arial" w:eastAsia="Arial" w:hAnsi="Arial"/>
                <w:b/>
                <w:bCs/>
                <w:color w:val="2E5FA3"/>
                <w:sz w:val="18"/>
                <w:szCs w:val="18"/>
              </w:rPr>
              <w:t xml:space="preserve">⚖️ Inversor Intermedio (3 fondos): </w:t>
            </w:r>
            <w:r>
              <w:rPr>
                <w:rFonts w:ascii="Arial" w:cs="Arial" w:eastAsia="Arial" w:hAnsi="Arial"/>
                <w:color w:val="4A4A4A"/>
                <w:sz w:val="17"/>
                <w:szCs w:val="17"/>
              </w:rPr>
              <w:t xml:space="preserve">Objetivo: diversificación real con tres fondos de roles distintos y máxima descorrelación entre sí.</w:t>
            </w:r>
          </w:p>
        </w:tc>
      </w:tr>
    </w:tbl>
    <w:p>
      <w:pPr>
        <w:spacing w:before="0" w:after="0"/>
      </w:pPr>
      <w:r>
        <w:rPr>
          <w:rFonts w:ascii="Arial" w:cs="Arial" w:eastAsia="Arial" w:hAnsi="Arial"/>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3550"/>
        <w:gridCol w:w="1357"/>
        <w:gridCol w:w="5533"/>
      </w:tblGrid>
      <w:tr>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Fondo</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4"/>
                <w:szCs w:val="14"/>
              </w:rPr>
              <w:t xml:space="preserve">Peso</w:t>
            </w:r>
          </w:p>
        </w:tc>
        <w:tc>
          <w:tcPr>
            <w:tcBorders>
              <w:top w:val="single" w:color="0E7490" w:sz="4"/>
              <w:left w:val="single" w:color="0E7490" w:sz="4"/>
              <w:bottom w:val="single" w:color="0E7490" w:sz="4"/>
              <w:right w:val="single" w:color="0E7490" w:sz="4"/>
            </w:tcBorders>
            <w:shd w:fill="0E7490"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Rol en la cartera</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Cobas Renta FI (30%)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E7490"/>
                <w:sz w:val="14"/>
                <w:szCs w:val="14"/>
              </w:rPr>
              <w:t xml:space="preserve">30%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ROL: Bajo riesgo / batir inflación. Volatilidad 2,99%, positivo en 2022. Único objetivo en esta cartera: preservar capital pase lo que pase.</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Renta 4 Delta R FI (40%)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E7490"/>
                <w:sz w:val="14"/>
                <w:szCs w:val="14"/>
              </w:rPr>
              <w:t xml:space="preserve">40%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ROL: Motor rentabilidad/riesgo. Sharpe 1,64, Bronze Medalist. Proporciona la mayor rentabilidad neta ajustada al riesgo del universo.</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BL-Global 50 B EUR (30%)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E7490"/>
                <w:sz w:val="14"/>
                <w:szCs w:val="14"/>
              </w:rPr>
              <w:t xml:space="preserve">30%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ROL: Máxima descorrelación. 22% en oro/plata ETCs, Beta 0,43. El más descorrelacionado de los tres: sube en inflación/crisis y amortigua caídas RV.</w:t>
            </w:r>
          </w:p>
        </w:tc>
      </w:tr>
    </w:tbl>
    <w:p>
      <w:pPr>
        <w:spacing w:before="0" w:after="0"/>
      </w:pPr>
      <w:r>
        <w:rPr>
          <w:rFonts w:ascii="Arial" w:cs="Arial" w:eastAsia="Arial" w:hAnsi="Arial"/>
        </w:rPr>
        <w:t xml:space="preserve"/>
      </w:r>
    </w:p>
    <w:p>
      <w:pPr>
        <w:spacing w:before="50" w:after="50"/>
        <w:jc w:val="both"/>
      </w:pPr>
      <w:r>
        <w:rPr>
          <w:rFonts w:ascii="Arial" w:cs="Arial" w:eastAsia="Arial" w:hAnsi="Arial"/>
          <w:i/>
          <w:iCs/>
          <w:color w:val="4A4A4A"/>
          <w:sz w:val="18"/>
          <w:szCs w:val="18"/>
        </w:rPr>
        <w:t xml:space="preserve">Rentabilidad neta esperada conjunta: 6-9% con volatilidad estimada 4,5-6%. Correlación muy baja entre los tres: Cobas Beta 0,04 (independiente), Delta R 0,67 (semi-mercado con cobertura) y BL-Global 0,43 (muy moderada por el oro).</w:t>
      </w:r>
    </w:p>
    <w:p>
      <w:pPr>
        <w:pStyle w:val="Heading2"/>
        <w:spacing w:before="90" w:after="30"/>
      </w:pPr>
      <w:r>
        <w:rPr>
          <w:rFonts w:ascii="Arial" w:cs="Arial" w:eastAsia="Arial" w:hAnsi="Arial"/>
          <w:b/>
          <w:bCs/>
          <w:color w:val="2E5FA3"/>
          <w:sz w:val="22"/>
          <w:szCs w:val="22"/>
        </w:rPr>
        <w:t xml:space="preserve">🏛️  Cartera 4 — Cartera Combinada de 4 Fondos</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Borders>
              <w:top w:val="single" w:color="6D28D9" w:sz="4"/>
              <w:left w:val="single" w:color="6D28D9" w:sz="4"/>
              <w:bottom w:val="single" w:color="6D28D9" w:sz="4"/>
              <w:right w:val="single" w:color="6D28D9" w:sz="4"/>
            </w:tcBorders>
            <w:shd w:fill="EDE9FE" w:val="clear"/>
            <w:tcMar>
              <w:top w:type="dxa" w:w="60"/>
              <w:left w:type="dxa" w:w="160"/>
              <w:bottom w:type="dxa" w:w="60"/>
              <w:right w:type="dxa" w:w="160"/>
            </w:tcMar>
          </w:tcPr>
          <w:p>
            <w:pPr>
              <w:spacing w:before="0" w:after="0"/>
            </w:pPr>
            <w:r>
              <w:rPr>
                <w:rFonts w:ascii="Arial" w:cs="Arial" w:eastAsia="Arial" w:hAnsi="Arial"/>
                <w:b/>
                <w:bCs/>
                <w:color w:val="6D28D9"/>
                <w:sz w:val="18"/>
                <w:szCs w:val="18"/>
              </w:rPr>
              <w:t xml:space="preserve">🏛️ Cartera Combinada (4 fondos): </w:t>
            </w:r>
            <w:r>
              <w:rPr>
                <w:rFonts w:ascii="Arial" w:cs="Arial" w:eastAsia="Arial" w:hAnsi="Arial"/>
                <w:color w:val="4A4A4A"/>
                <w:sz w:val="17"/>
                <w:szCs w:val="17"/>
              </w:rPr>
              <w:t xml:space="preserve">Renta 4 Delta R + BL-Global 50 + Cobas Renta + Baelo Patrimonio: máxima diversificación de estilos, gestoras, geografías y estrategias.</w:t>
            </w:r>
          </w:p>
        </w:tc>
      </w:tr>
    </w:tbl>
    <w:p>
      <w:pPr>
        <w:spacing w:before="0" w:after="0"/>
      </w:pPr>
      <w:r>
        <w:rPr>
          <w:rFonts w:ascii="Arial" w:cs="Arial" w:eastAsia="Arial" w:hAnsi="Arial"/>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3550"/>
        <w:gridCol w:w="1357"/>
        <w:gridCol w:w="5533"/>
      </w:tblGrid>
      <w:tr>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Fondo</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4"/>
                <w:szCs w:val="14"/>
              </w:rPr>
              <w:t xml:space="preserve">Peso</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Rol en la cartera</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Cobas Renta FI (20%)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20%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Colchón defensivo y ancla de bajo coste: TER 0,31%, volatilidad 2,99%, positivo en 2022. Protege ante caídas severas del resto de la cartera.</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BL-Global 50 B EUR (30%)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30%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Motor estable con diversificador de oro: 30 años historial, Beta 0,43, 22% oro/plata. RF larga calidad. Equilibra la cartera con calidad y estabilidad.</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Renta 4 Delta R FI (30%)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30%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Motor de rentabilidad ajustada y cobertura activa: Sharpe 1,64, Bronze Medalist, estrategia long/short reduce exposición bruta en mercados bajistas.</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Baelo Patrimonio FI (20%)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6D28D9"/>
                <w:sz w:val="14"/>
                <w:szCs w:val="14"/>
              </w:rPr>
              <w:t xml:space="preserve">20%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Complemento de aristócratas del dividendo: TER 0,39%, diversificación geográfica en tercios (USA / Europa / Resto), sesgo defensivo y de calidad corporativa.</w:t>
            </w:r>
          </w:p>
        </w:tc>
      </w:tr>
    </w:tbl>
    <w:p>
      <w:pPr>
        <w:spacing w:before="0" w:after="0"/>
      </w:pPr>
      <w:r>
        <w:rPr>
          <w:rFonts w:ascii="Arial" w:cs="Arial" w:eastAsia="Arial" w:hAnsi="Arial"/>
        </w:rPr>
        <w:t xml:space="preserve"/>
      </w:r>
    </w:p>
    <w:p>
      <w:pPr>
        <w:spacing w:before="50" w:after="50"/>
        <w:jc w:val="both"/>
      </w:pPr>
      <w:r>
        <w:rPr>
          <w:rFonts w:ascii="Arial" w:cs="Arial" w:eastAsia="Arial" w:hAnsi="Arial"/>
          <w:b/>
          <w:bCs/>
          <w:color w:val="6D28D9"/>
          <w:sz w:val="19"/>
          <w:szCs w:val="19"/>
        </w:rPr>
        <w:t xml:space="preserve">Esta cartera se analiza en profundidad en la Sección 5.</w:t>
      </w:r>
    </w:p>
    <w:p>
      <w:pPr>
        <w:pBdr>
          <w:top w:val="single" w:color="1B3A6B" w:sz="4" w:space="1"/>
        </w:pBdr>
        <w:spacing w:before="100" w:after="60"/>
      </w:pPr>
      <w:r>
        <w:rPr>
          <w:rFonts w:ascii="Arial" w:cs="Arial" w:eastAsia="Arial" w:hAnsi="Arial"/>
          <w:i/>
          <w:iCs/>
          <w:color w:val="6B7280"/>
          <w:sz w:val="16"/>
          <w:szCs w:val="16"/>
        </w:rPr>
        <w:t xml:space="preserve">Este informe tiene carácter exclusivamente informativo. No constituye asesoramiento financiero. Rentabilidades pasadas no garantizan resultados futuros.</w:t>
      </w:r>
    </w:p>
    <w:p>
      <w:pPr>
        <w:sectPr>
          <w:pgSz w:w="12240" w:h="15840" w:orient="portrait"/>
          <w:pgMar w:top="900" w:right="900" w:bottom="900" w:left="900" w:header="708" w:footer="708" w:gutter="0"/>
          <w:pgNumType/>
          <w:docGrid w:linePitch="360"/>
        </w:sectPr>
      </w:pPr>
    </w:p>
    <w:p>
      <w:pPr>
        <w:pStyle w:val="Heading1"/>
      </w:pPr>
      <w:r>
        <w:rPr>
          <w:rFonts w:ascii="Arial" w:cs="Arial" w:eastAsia="Arial" w:hAnsi="Arial"/>
          <w:b/>
          <w:bCs/>
        </w:rPr>
        <w:t xml:space="preserve">5. Análisis en Profundidad — Cartera Combinada de 4 Fondos</w:t>
      </w:r>
    </w:p>
    <w:p>
      <w:pPr>
        <w:spacing w:before="55" w:after="55"/>
        <w:jc w:val="both"/>
      </w:pPr>
      <w:r>
        <w:rPr>
          <w:rFonts w:ascii="Arial" w:cs="Arial" w:eastAsia="Arial" w:hAnsi="Arial"/>
          <w:sz w:val="20"/>
          <w:szCs w:val="20"/>
        </w:rPr>
        <w:t xml:space="preserve">Esta sección analiza en detalle la cartera formada por los fondos </w:t>
      </w:r>
      <w:r>
        <w:rPr>
          <w:rFonts w:ascii="Arial" w:cs="Arial" w:eastAsia="Arial" w:hAnsi="Arial"/>
          <w:b/>
          <w:bCs/>
          <w:sz w:val="20"/>
          <w:szCs w:val="20"/>
        </w:rPr>
        <w:t xml:space="preserve">Cobas Renta FI (20%) + BL-Global 50 B EUR (30%) + Renta 4 Delta R FI (30%) + Baelo Patrimonio FI (20%)</w:t>
      </w:r>
      <w:r>
        <w:rPr>
          <w:rFonts w:ascii="Arial" w:cs="Arial" w:eastAsia="Arial" w:hAnsi="Arial"/>
          <w:sz w:val="20"/>
          <w:szCs w:val="20"/>
        </w:rPr>
        <w:t xml:space="preserve">. Esta combinación es la más diversificada de las cuatro carteras recomendadas: agrupa cuatro filosofías de gestión distintas, cuatro gestoras independientes, cuatro categorías de activos complementarias y cuatro fuentes de retorno descorrelacionadas.</w:t>
      </w:r>
    </w:p>
    <w:p>
      <w:pPr>
        <w:pStyle w:val="Heading2"/>
        <w:spacing w:before="100" w:after="40"/>
      </w:pPr>
      <w:r>
        <w:rPr>
          <w:rFonts w:ascii="Arial" w:cs="Arial" w:eastAsia="Arial" w:hAnsi="Arial"/>
          <w:b/>
          <w:bCs/>
          <w:color w:val="6D28D9"/>
          <w:sz w:val="22"/>
          <w:szCs w:val="22"/>
        </w:rPr>
        <w:t xml:space="preserve">5.1  Composición y Métricas Individuales</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2000"/>
        <w:gridCol w:w="800"/>
        <w:gridCol w:w="700"/>
        <w:gridCol w:w="700"/>
        <w:gridCol w:w="700"/>
        <w:gridCol w:w="700"/>
        <w:gridCol w:w="700"/>
        <w:gridCol w:w="700"/>
        <w:gridCol w:w="700"/>
        <w:gridCol w:w="800"/>
        <w:gridCol w:w="900"/>
      </w:tblGrid>
      <w:tr>
        <w:trPr>
          <w:tblHeader/>
        </w:trP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Fondo</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Peso</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TER</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Grupo</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Sharpe</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2022</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1a</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3a</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5a</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Beta</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Metales</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4"/>
                <w:szCs w:val="14"/>
              </w:rPr>
              <w:t xml:space="preserve">Cobas Renta FI</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20%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3"/>
                <w:szCs w:val="13"/>
              </w:rPr>
              <w:t xml:space="preserve">0,31%</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Def.</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1,25</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+3,89%</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+6,83%</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+6,82%</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+6,41%</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0,04</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4"/>
                <w:szCs w:val="14"/>
              </w:rPr>
              <w:t xml:space="preserve">BL-Global 50 B EUR</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30%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C0392B"/>
                <w:sz w:val="13"/>
                <w:szCs w:val="13"/>
              </w:rPr>
              <w:t xml:space="preserve">1,45%</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Mod.</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4"/>
                <w:szCs w:val="14"/>
              </w:rPr>
              <w:t xml:space="preserve">1,18</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-7,32%</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+14,35%</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+10,82%</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+6,66%</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0,43</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~22%</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4"/>
                <w:szCs w:val="14"/>
              </w:rPr>
              <w:t xml:space="preserve">Renta 4 Delta R FI</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30%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1,00%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Flex.</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1,64</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-4,57%</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+15,51%</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+11,07%</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+6,53%</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0,67</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~4%</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4"/>
                <w:szCs w:val="14"/>
              </w:rPr>
              <w:t xml:space="preserve">Baelo Patrimonio FI</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20%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3"/>
                <w:szCs w:val="13"/>
              </w:rPr>
              <w:t xml:space="preserve">0,39%</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Mod.</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0,70</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-8,33%</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+9,94%</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+8,65%</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+6,35%</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0,82</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w:t>
            </w:r>
          </w:p>
        </w:tc>
      </w:tr>
      <w:tr>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FFFFFF"/>
                <w:sz w:val="14"/>
                <w:szCs w:val="14"/>
              </w:rPr>
              <w:t xml:space="preserve">CARTERA COMBINADA (estimado)</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4"/>
                <w:szCs w:val="14"/>
              </w:rPr>
              <w:t xml:space="preserve">100%</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4"/>
                <w:szCs w:val="14"/>
              </w:rPr>
              <w:t xml:space="preserve">0,94%</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Mixta</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4"/>
                <w:szCs w:val="14"/>
              </w:rPr>
              <w:t xml:space="preserve">~1,20</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4"/>
                <w:szCs w:val="14"/>
              </w:rPr>
              <w:t xml:space="preserve">~-4,0%</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~11,5%</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~9,3%</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~6,5%</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~0,50</w:t>
            </w:r>
          </w:p>
        </w:tc>
        <w:tc>
          <w:tcPr>
            <w:tcBorders>
              <w:top w:val="single" w:color="6D28D9" w:sz="4"/>
              <w:left w:val="single" w:color="6D28D9" w:sz="4"/>
              <w:bottom w:val="single" w:color="6D28D9" w:sz="4"/>
              <w:right w:val="single" w:color="6D28D9" w:sz="4"/>
            </w:tcBorders>
            <w:shd w:fill="6D28D9"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3"/>
                <w:szCs w:val="13"/>
              </w:rPr>
              <w:t xml:space="preserve">~7%</w:t>
            </w:r>
          </w:p>
        </w:tc>
      </w:tr>
    </w:tbl>
    <w:p>
      <w:pPr>
        <w:spacing w:before="0" w:after="0"/>
      </w:pPr>
      <w:r>
        <w:rPr>
          <w:rFonts w:ascii="Arial" w:cs="Arial" w:eastAsia="Arial" w:hAnsi="Arial"/>
        </w:rPr>
        <w:t xml:space="preserve"/>
      </w:r>
    </w:p>
    <w:p>
      <w:pPr>
        <w:spacing w:after="40"/>
      </w:pPr>
      <w:r>
        <w:rPr>
          <w:rFonts w:ascii="Arial" w:cs="Arial" w:eastAsia="Arial" w:hAnsi="Arial"/>
          <w:i/>
          <w:iCs/>
          <w:color w:val="6B7280"/>
          <w:sz w:val="16"/>
          <w:szCs w:val="16"/>
        </w:rPr>
        <w:t xml:space="preserve">* Las métricas de la fila 'Cartera Combinada' son estimaciones ponderadas. El Sharpe y la rentabilidad no son simplemente la media ponderada, sino estimaciones que consideran el efecto de la descorrelación entre los fondos.</w:t>
      </w:r>
    </w:p>
    <w:p>
      <w:pPr>
        <w:pStyle w:val="Heading2"/>
        <w:spacing w:before="100" w:after="40"/>
      </w:pPr>
      <w:r>
        <w:rPr>
          <w:rFonts w:ascii="Arial" w:cs="Arial" w:eastAsia="Arial" w:hAnsi="Arial"/>
          <w:b/>
          <w:bCs/>
          <w:color w:val="6D28D9"/>
          <w:sz w:val="22"/>
          <w:szCs w:val="22"/>
        </w:rPr>
        <w:t xml:space="preserve">5.2  Distribución de Activos Ponderada</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2200"/>
        <w:gridCol w:w="1000"/>
        <w:gridCol w:w="1000"/>
        <w:gridCol w:w="1000"/>
        <w:gridCol w:w="1000"/>
        <w:gridCol w:w="1000"/>
        <w:gridCol w:w="1000"/>
        <w:gridCol w:w="900"/>
        <w:gridCol w:w="1900"/>
      </w:tblGrid>
      <w:tr>
        <w:trPr>
          <w:tblHeader/>
        </w:trP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Componente</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Cobas 20%</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BL-50 30%</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Delta R 30%</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Baelo 20%</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Pond. Total</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Pesos*</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RV/RF</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Fuente de Retorno</w:t>
            </w:r>
          </w:p>
        </w:tc>
      </w:tr>
      <w:tr>
        <w:tc>
          <w:tcPr>
            <w:tcBorders>
              <w:top w:val="single" w:color="BBBBBB" w:sz="4"/>
              <w:left w:val="single" w:color="BBBBBB" w:sz="4"/>
              <w:bottom w:val="single" w:color="BBBBBB" w:sz="4"/>
              <w:right w:val="single" w:color="BBBBBB" w:sz="4"/>
            </w:tcBorders>
            <w:shd w:fill="DBEAFE"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Renta Variable</w:t>
            </w:r>
          </w:p>
        </w:tc>
        <w:tc>
          <w:tcPr>
            <w:tcBorders>
              <w:top w:val="single" w:color="BBBBBB" w:sz="4"/>
              <w:left w:val="single" w:color="BBBBBB" w:sz="4"/>
              <w:bottom w:val="single" w:color="BBBBBB" w:sz="4"/>
              <w:right w:val="single" w:color="BBBBBB"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14,5%→ 2,9%</w:t>
            </w:r>
          </w:p>
        </w:tc>
        <w:tc>
          <w:tcPr>
            <w:tcBorders>
              <w:top w:val="single" w:color="BBBBBB" w:sz="4"/>
              <w:left w:val="single" w:color="BBBBBB" w:sz="4"/>
              <w:bottom w:val="single" w:color="BBBBBB" w:sz="4"/>
              <w:right w:val="single" w:color="BBBBBB"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37,8%→11,3%</w:t>
            </w:r>
          </w:p>
        </w:tc>
        <w:tc>
          <w:tcPr>
            <w:tcBorders>
              <w:top w:val="single" w:color="BBBBBB" w:sz="4"/>
              <w:left w:val="single" w:color="BBBBBB" w:sz="4"/>
              <w:bottom w:val="single" w:color="BBBBBB" w:sz="4"/>
              <w:right w:val="single" w:color="BBBBBB"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36,4%→10,9%</w:t>
            </w:r>
          </w:p>
        </w:tc>
        <w:tc>
          <w:tcPr>
            <w:tcBorders>
              <w:top w:val="single" w:color="BBBBBB" w:sz="4"/>
              <w:left w:val="single" w:color="BBBBBB" w:sz="4"/>
              <w:bottom w:val="single" w:color="BBBBBB" w:sz="4"/>
              <w:right w:val="single" w:color="BBBBBB"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60,6%→12,1%</w:t>
            </w:r>
          </w:p>
        </w:tc>
        <w:tc>
          <w:tcPr>
            <w:tcBorders>
              <w:top w:val="single" w:color="BBBBBB" w:sz="4"/>
              <w:left w:val="single" w:color="BBBBBB" w:sz="4"/>
              <w:bottom w:val="single" w:color="BBBBBB" w:sz="4"/>
              <w:right w:val="single" w:color="BBBBBB"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~37,2%</w:t>
            </w:r>
          </w:p>
        </w:tc>
        <w:tc>
          <w:tcPr>
            <w:tcBorders>
              <w:top w:val="single" w:color="BBBBBB" w:sz="4"/>
              <w:left w:val="single" w:color="BBBBBB" w:sz="4"/>
              <w:bottom w:val="single" w:color="BBBBBB" w:sz="4"/>
              <w:right w:val="single" w:color="BBBBBB"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Moderado</w:t>
            </w:r>
          </w:p>
        </w:tc>
        <w:tc>
          <w:tcPr>
            <w:tcBorders>
              <w:top w:val="single" w:color="BBBBBB" w:sz="4"/>
              <w:left w:val="single" w:color="BBBBBB" w:sz="4"/>
              <w:bottom w:val="single" w:color="BBBBBB" w:sz="4"/>
              <w:right w:val="single" w:color="BBBBBB" w:sz="4"/>
            </w:tcBorders>
            <w:shd w:fill="DBEAFE"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RV</w:t>
            </w:r>
          </w:p>
        </w:tc>
        <w:tc>
          <w:tcPr>
            <w:tcBorders>
              <w:top w:val="single" w:color="BBBBBB" w:sz="4"/>
              <w:left w:val="single" w:color="BBBBBB" w:sz="4"/>
              <w:bottom w:val="single" w:color="BBBBBB" w:sz="4"/>
              <w:right w:val="single" w:color="BBBBBB" w:sz="4"/>
            </w:tcBorders>
            <w:shd w:fill="DBEAFE"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Crecimiento de capital, dividendos</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Renta Fija + Cash</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85,5%→17,1%</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40,2%→12,1%</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63,6%→19,1%</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38,1%→ 7,6%</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B3A6B"/>
                <w:sz w:val="14"/>
                <w:szCs w:val="14"/>
              </w:rPr>
              <w:t xml:space="preserve">~55,9%</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Defensivo</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RF</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Estabilidad, cupones, cobertura tipos</w:t>
            </w:r>
          </w:p>
        </w:tc>
      </w:tr>
      <w:tr>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Oro y Metales Preciosos</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 0%</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~22%→ 6,6%</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~4%→ 1,2%</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 0%</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~7,8%</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Refugio</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Alternativo</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Inflación, crisis geopolítica, divisa</w:t>
            </w:r>
          </w:p>
        </w:tc>
      </w:tr>
      <w:tr>
        <w:tc>
          <w:tcPr>
            <w:tcBorders>
              <w:top w:val="single" w:color="BBBBBB" w:sz="4"/>
              <w:left w:val="single" w:color="BBBBBB" w:sz="4"/>
              <w:bottom w:val="single" w:color="BBBBBB" w:sz="4"/>
              <w:right w:val="single" w:color="BBBBBB" w:sz="4"/>
            </w:tcBorders>
            <w:shd w:fill="FFE4E4"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Posiciones Cortas (cobertura)</w:t>
            </w:r>
          </w:p>
        </w:tc>
        <w:tc>
          <w:tcPr>
            <w:tcBorders>
              <w:top w:val="single" w:color="BBBBBB" w:sz="4"/>
              <w:left w:val="single" w:color="BBBBBB" w:sz="4"/>
              <w:bottom w:val="single" w:color="BBBBBB" w:sz="4"/>
              <w:right w:val="single" w:color="BBBBBB" w:sz="4"/>
            </w:tcBorders>
            <w:shd w:fill="FFF0F0"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FF0F0"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FF0F0"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-12,1%→-3,6%</w:t>
            </w:r>
          </w:p>
        </w:tc>
        <w:tc>
          <w:tcPr>
            <w:tcBorders>
              <w:top w:val="single" w:color="BBBBBB" w:sz="4"/>
              <w:left w:val="single" w:color="BBBBBB" w:sz="4"/>
              <w:bottom w:val="single" w:color="BBBBBB" w:sz="4"/>
              <w:right w:val="single" w:color="BBBBBB" w:sz="4"/>
            </w:tcBorders>
            <w:shd w:fill="FFF0F0"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FF0F0"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4"/>
                <w:szCs w:val="14"/>
              </w:rPr>
              <w:t xml:space="preserve">~-3,6%</w:t>
            </w:r>
          </w:p>
        </w:tc>
        <w:tc>
          <w:tcPr>
            <w:tcBorders>
              <w:top w:val="single" w:color="BBBBBB" w:sz="4"/>
              <w:left w:val="single" w:color="BBBBBB" w:sz="4"/>
              <w:bottom w:val="single" w:color="BBBBBB" w:sz="4"/>
              <w:right w:val="single" w:color="BBBBBB" w:sz="4"/>
            </w:tcBorders>
            <w:shd w:fill="FFF0F0"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Cobertura</w:t>
            </w:r>
          </w:p>
        </w:tc>
        <w:tc>
          <w:tcPr>
            <w:tcBorders>
              <w:top w:val="single" w:color="BBBBBB" w:sz="4"/>
              <w:left w:val="single" w:color="BBBBBB" w:sz="4"/>
              <w:bottom w:val="single" w:color="BBBBBB" w:sz="4"/>
              <w:right w:val="single" w:color="BBBBBB" w:sz="4"/>
            </w:tcBorders>
            <w:shd w:fill="FFF0F0"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Negativa</w:t>
            </w:r>
          </w:p>
        </w:tc>
        <w:tc>
          <w:tcPr>
            <w:tcBorders>
              <w:top w:val="single" w:color="BBBBBB" w:sz="4"/>
              <w:left w:val="single" w:color="BBBBBB" w:sz="4"/>
              <w:bottom w:val="single" w:color="BBBBBB" w:sz="4"/>
              <w:right w:val="single" w:color="BBBBBB" w:sz="4"/>
            </w:tcBorders>
            <w:shd w:fill="FFF0F0"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Protección bajistas (futuros índices)</w:t>
            </w:r>
          </w:p>
        </w:tc>
      </w:tr>
    </w:tbl>
    <w:p>
      <w:pPr>
        <w:spacing w:before="0" w:after="0"/>
      </w:pPr>
      <w:r>
        <w:rPr>
          <w:rFonts w:ascii="Arial" w:cs="Arial" w:eastAsia="Arial" w:hAnsi="Arial"/>
        </w:rPr>
        <w:t xml:space="preserve"/>
      </w:r>
    </w:p>
    <w:p>
      <w:pPr>
        <w:spacing w:before="55" w:after="55"/>
        <w:jc w:val="both"/>
      </w:pPr>
      <w:r>
        <w:rPr>
          <w:rFonts w:ascii="Arial" w:cs="Arial" w:eastAsia="Arial" w:hAnsi="Arial"/>
          <w:sz w:val="19"/>
          <w:szCs w:val="19"/>
        </w:rPr>
        <w:t xml:space="preserve">La cartera resultante tiene aproximadamente </w:t>
      </w:r>
      <w:r>
        <w:rPr>
          <w:rFonts w:ascii="Arial" w:cs="Arial" w:eastAsia="Arial" w:hAnsi="Arial"/>
          <w:b/>
          <w:bCs/>
          <w:sz w:val="19"/>
          <w:szCs w:val="19"/>
        </w:rPr>
        <w:t xml:space="preserve">37% en renta variable, 56% en renta fija/cash y 7,8% en oro y metales preciosos</w:t>
      </w:r>
      <w:r>
        <w:rPr>
          <w:rFonts w:ascii="Arial" w:cs="Arial" w:eastAsia="Arial" w:hAnsi="Arial"/>
          <w:sz w:val="19"/>
          <w:szCs w:val="19"/>
        </w:rPr>
        <w:t xml:space="preserve">. La posición corta del Renta 4 Delta R (~3,6% de la cartera) actúa como cobertura activa sobre la parte de renta variable, reduciendo la exposición bruta neta al mercado. El TER ponderado de ~0,94% es razonable dado el nivel de sofisticación de la cartera.</w:t>
      </w:r>
    </w:p>
    <w:p>
      <w:pPr>
        <w:pStyle w:val="Heading2"/>
        <w:spacing w:before="100" w:after="40"/>
      </w:pPr>
      <w:r>
        <w:rPr>
          <w:rFonts w:ascii="Arial" w:cs="Arial" w:eastAsia="Arial" w:hAnsi="Arial"/>
          <w:b/>
          <w:bCs/>
          <w:color w:val="6D28D9"/>
          <w:sz w:val="22"/>
          <w:szCs w:val="22"/>
        </w:rPr>
        <w:t xml:space="preserve">5.3  Diversificación Real: Gestoras, Geografías y Estrategias</w:t>
      </w:r>
    </w:p>
    <w:p>
      <w:pPr>
        <w:spacing w:before="55" w:after="55"/>
        <w:jc w:val="both"/>
      </w:pPr>
      <w:r>
        <w:rPr>
          <w:rFonts w:ascii="Arial" w:cs="Arial" w:eastAsia="Arial" w:hAnsi="Arial"/>
          <w:sz w:val="19"/>
          <w:szCs w:val="19"/>
        </w:rPr>
        <w:t xml:space="preserve">Una de las mayores virtudes de esta cartera es la </w:t>
      </w:r>
      <w:r>
        <w:rPr>
          <w:rFonts w:ascii="Arial" w:cs="Arial" w:eastAsia="Arial" w:hAnsi="Arial"/>
          <w:b/>
          <w:bCs/>
          <w:sz w:val="19"/>
          <w:szCs w:val="19"/>
        </w:rPr>
        <w:t xml:space="preserve">diversificación real a múltiples niveles</w:t>
      </w:r>
      <w:r>
        <w:rPr>
          <w:rFonts w:ascii="Arial" w:cs="Arial" w:eastAsia="Arial" w:hAnsi="Arial"/>
          <w:sz w:val="19"/>
          <w:szCs w:val="19"/>
        </w:rPr>
        <w:t xml:space="preserve">: (1) </w:t>
      </w:r>
      <w:r>
        <w:rPr>
          <w:rFonts w:ascii="Arial" w:cs="Arial" w:eastAsia="Arial" w:hAnsi="Arial"/>
          <w:b/>
          <w:bCs/>
          <w:sz w:val="19"/>
          <w:szCs w:val="19"/>
        </w:rPr>
        <w:t xml:space="preserve">Cuatro gestoras totalmente independientes</w:t>
      </w:r>
      <w:r>
        <w:rPr>
          <w:rFonts w:ascii="Arial" w:cs="Arial" w:eastAsia="Arial" w:hAnsi="Arial"/>
          <w:sz w:val="19"/>
          <w:szCs w:val="19"/>
        </w:rPr>
        <w:t xml:space="preserve"> (Cobas AM, BLI Luxemburgo, Renta 4 Gestora, Andbank/Baelo): esto elimina el riesgo de concentración en una sola estructura operativa o regulatoria. (2) </w:t>
      </w:r>
      <w:r>
        <w:rPr>
          <w:rFonts w:ascii="Arial" w:cs="Arial" w:eastAsia="Arial" w:hAnsi="Arial"/>
          <w:b/>
          <w:bCs/>
          <w:sz w:val="19"/>
          <w:szCs w:val="19"/>
        </w:rPr>
        <w:t xml:space="preserve">Cuatro filosofías de gestión distintas</w:t>
      </w:r>
      <w:r>
        <w:rPr>
          <w:rFonts w:ascii="Arial" w:cs="Arial" w:eastAsia="Arial" w:hAnsi="Arial"/>
          <w:sz w:val="19"/>
          <w:szCs w:val="19"/>
        </w:rPr>
        <w:t xml:space="preserve">: value (Cobas), multiactivo con oro (BLI), long/short activo (Delta R), aristócratas del dividendo (Baelo). (3) </w:t>
      </w:r>
      <w:r>
        <w:rPr>
          <w:rFonts w:ascii="Arial" w:cs="Arial" w:eastAsia="Arial" w:hAnsi="Arial"/>
          <w:b/>
          <w:bCs/>
          <w:sz w:val="19"/>
          <w:szCs w:val="19"/>
        </w:rPr>
        <w:t xml:space="preserve">Diversificación geográfica de la RV</w:t>
      </w:r>
      <w:r>
        <w:rPr>
          <w:rFonts w:ascii="Arial" w:cs="Arial" w:eastAsia="Arial" w:hAnsi="Arial"/>
          <w:sz w:val="19"/>
          <w:szCs w:val="19"/>
        </w:rPr>
        <w:t xml:space="preserve">: Cobas concentrado en Zona Euro (78%); BLI global con sesgo europeo (38%); Delta R con sesgo europeo (55%); Baelo equilibrado en tercios (USA/Europa/Resto). El resultado ponderado es una RV con distribución global equilibrada: ~42% Norteamérica, ~40% Europa, ~18% Asia y Otros.</w:t>
      </w:r>
    </w:p>
    <w:p>
      <w:pPr>
        <w:pStyle w:val="Heading2"/>
        <w:spacing w:before="100" w:after="40"/>
      </w:pPr>
      <w:r>
        <w:rPr>
          <w:rFonts w:ascii="Arial" w:cs="Arial" w:eastAsia="Arial" w:hAnsi="Arial"/>
          <w:b/>
          <w:bCs/>
          <w:color w:val="6D28D9"/>
          <w:sz w:val="22"/>
          <w:szCs w:val="22"/>
        </w:rPr>
        <w:t xml:space="preserve">5.4  Análisis por Escenarios de Mercado</w:t>
      </w:r>
    </w:p>
    <w:p>
      <w:pPr>
        <w:spacing w:before="55" w:after="55"/>
        <w:jc w:val="both"/>
      </w:pPr>
      <w:r>
        <w:rPr>
          <w:rFonts w:ascii="Arial" w:cs="Arial" w:eastAsia="Arial" w:hAnsi="Arial"/>
          <w:sz w:val="19"/>
          <w:szCs w:val="19"/>
        </w:rPr>
        <w:t xml:space="preserve">La siguiente tabla estima el comportamiento esperado de cada fondo y de la cartera en diferentes escenarios de mercado, basándose en el historial disponible y las características estructurales de cada fondo:</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800"/>
        <w:gridCol w:w="700"/>
        <w:gridCol w:w="700"/>
        <w:gridCol w:w="700"/>
        <w:gridCol w:w="700"/>
        <w:gridCol w:w="700"/>
        <w:gridCol w:w="700"/>
        <w:gridCol w:w="700"/>
        <w:gridCol w:w="700"/>
        <w:gridCol w:w="1400"/>
      </w:tblGrid>
      <w:tr>
        <w:trPr>
          <w:tblHeader/>
        </w:trP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Escenario de Mercado</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Cobas</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BL-50</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Delta R</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Baelo</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Cartera</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Volat.</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Sharpe</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Drawdown</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Catalizador principal</w:t>
            </w:r>
          </w:p>
        </w:tc>
      </w:tr>
      <w:tr>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 Mercado alcista fuerte</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~10-14%</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5-6%</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&gt;1,5</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-6%</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Delta R + BL-Global RV</w:t>
            </w:r>
          </w:p>
        </w:tc>
      </w:tr>
      <w:tr>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 Corrección moderada (-10%)</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~-2/-4%</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4-5%</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&gt;1,2</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-5%</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Cobas+Delta R cortos amortiguan</w:t>
            </w:r>
          </w:p>
        </w:tc>
      </w:tr>
      <w:tr>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 Crisis sistémica (2022-like)</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1A7A4A"/>
                <w:sz w:val="13"/>
                <w:szCs w:val="13"/>
              </w:rPr>
              <w:t xml:space="preserve">★★★★★</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1A7A4A"/>
                <w:sz w:val="13"/>
                <w:szCs w:val="13"/>
              </w:rPr>
              <w:t xml:space="preserve">★★★★★</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C0392B"/>
                <w:sz w:val="13"/>
                <w:szCs w:val="13"/>
              </w:rPr>
              <w:t xml:space="preserve">~-4/-5%</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5-6%</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&gt;1,0</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-7%</w:t>
            </w:r>
          </w:p>
        </w:tc>
        <w:tc>
          <w:tcPr>
            <w:tcBorders>
              <w:top w:val="single" w:color="BBBBBB" w:sz="4"/>
              <w:left w:val="single" w:color="BBBBBB" w:sz="4"/>
              <w:bottom w:val="single" w:color="BBBBBB" w:sz="4"/>
              <w:right w:val="single" w:color="BBBBBB" w:sz="4"/>
            </w:tcBorders>
            <w:shd w:fill="FEE2E2"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Cobas (+3,9%) y Delta R (-4,6%) compensan</w:t>
            </w:r>
          </w:p>
        </w:tc>
      </w:tr>
      <w:tr>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 Inflación elevada</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1A7A4A"/>
                <w:sz w:val="13"/>
                <w:szCs w:val="13"/>
              </w:rPr>
              <w:t xml:space="preserve">★★★★★</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~6-9%</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5-6%</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&gt;1,2</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-5%</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Oro BL-Global + Baelo aristócratas</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 Lateral o incertidumbre</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000000"/>
                <w:sz w:val="13"/>
                <w:szCs w:val="13"/>
              </w:rPr>
              <w:t xml:space="preserve">~4-6%</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4-5%</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&gt;1,0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-4%</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val="false"/>
                <w:iCs w:val="false"/>
                <w:color w:val="000000"/>
                <w:sz w:val="13"/>
                <w:szCs w:val="13"/>
              </w:rPr>
              <w:t xml:space="preserve">Cobas RF + dividendos Baelo</w:t>
            </w:r>
          </w:p>
        </w:tc>
      </w:tr>
    </w:tbl>
    <w:p>
      <w:pPr>
        <w:spacing w:before="0" w:after="0"/>
      </w:pPr>
      <w:r>
        <w:rPr>
          <w:rFonts w:ascii="Arial" w:cs="Arial" w:eastAsia="Arial" w:hAnsi="Arial"/>
        </w:rPr>
        <w:t xml:space="preserve"/>
      </w:r>
    </w:p>
    <w:p>
      <w:pPr>
        <w:spacing w:after="40"/>
      </w:pPr>
      <w:r>
        <w:rPr>
          <w:rFonts w:ascii="Arial" w:cs="Arial" w:eastAsia="Arial" w:hAnsi="Arial"/>
          <w:i/>
          <w:iCs/>
          <w:color w:val="6B7280"/>
          <w:sz w:val="16"/>
          <w:szCs w:val="16"/>
        </w:rPr>
        <w:t xml:space="preserve">Las rentabilidades estimadas son aproximaciones basadas en el comportamiento histórico y la estructura de cada fondo. No constituyen garantía de resultados futuros.</w:t>
      </w:r>
    </w:p>
    <w:p>
      <w:pPr>
        <w:pStyle w:val="Heading2"/>
        <w:spacing w:before="100" w:after="40"/>
      </w:pPr>
      <w:r>
        <w:rPr>
          <w:rFonts w:ascii="Arial" w:cs="Arial" w:eastAsia="Arial" w:hAnsi="Arial"/>
          <w:b/>
          <w:bCs/>
          <w:color w:val="6D28D9"/>
          <w:sz w:val="22"/>
          <w:szCs w:val="22"/>
        </w:rPr>
        <w:t xml:space="preserve">5.5  Métricas Ponderadas de la Cartera</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2800"/>
        <w:gridCol w:w="1300"/>
        <w:gridCol w:w="1300"/>
        <w:gridCol w:w="1300"/>
        <w:gridCol w:w="1300"/>
        <w:gridCol w:w="1300"/>
        <w:gridCol w:w="1140"/>
      </w:tblGrid>
      <w:tr>
        <w:trPr>
          <w:tblHeader/>
        </w:trPr>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Métrica</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Cobas (20%)</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BL-50 (30%)</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Delta R (30%)</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Baelo (20%)</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Pond. Total</w:t>
            </w:r>
          </w:p>
        </w:tc>
        <w:tc>
          <w:tcPr>
            <w:tcBorders>
              <w:top w:val="single" w:color="1B3A6B" w:sz="4"/>
              <w:left w:val="single" w:color="1B3A6B" w:sz="4"/>
              <w:bottom w:val="single" w:color="1B3A6B" w:sz="4"/>
              <w:right w:val="single" w:color="1B3A6B" w:sz="4"/>
            </w:tcBorders>
            <w:shd w:fill="1B3A6B"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FFFFFF"/>
                <w:sz w:val="15"/>
                <w:szCs w:val="15"/>
              </w:rPr>
              <w:t xml:space="preserve">Valoración</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TER (comisiones)</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0,31%</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1,45%</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1,00%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0,39%</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~0,94%</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iCs/>
                <w:color w:val="000000"/>
                <w:sz w:val="12"/>
                <w:szCs w:val="12"/>
              </w:rPr>
              <w:t xml:space="preserve">Aceptable: alto por BL-50</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Sharpe ratio</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1,25</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1,18</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1,64</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0,70</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~1,20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iCs/>
                <w:color w:val="000000"/>
                <w:sz w:val="12"/>
                <w:szCs w:val="12"/>
              </w:rPr>
              <w:t xml:space="preserve">Muy bueno</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Beta vs mercado</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0,04</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0,43</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0,67</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0,82</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~0,50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iCs/>
                <w:color w:val="000000"/>
                <w:sz w:val="12"/>
                <w:szCs w:val="12"/>
              </w:rPr>
              <w:t xml:space="preserve">Defensivo</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Volatilidad</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2,99%</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5,44%</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4,77%</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5,77%</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~4,8%</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iCs/>
                <w:color w:val="000000"/>
                <w:sz w:val="12"/>
                <w:szCs w:val="12"/>
              </w:rPr>
              <w:t xml:space="preserve">Muy controlada</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Rentabilidad 3a</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6,82%</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10,82%</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11,07%</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8,65%</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~9,3%</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iCs/>
                <w:color w:val="000000"/>
                <w:sz w:val="12"/>
                <w:szCs w:val="12"/>
              </w:rPr>
              <w:t xml:space="preserve">Muy buena</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2022 (test estrés)</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+3,89%</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-7,32%</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-4,57%</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-8,33%</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~-4,0%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iCs/>
                <w:color w:val="000000"/>
                <w:sz w:val="12"/>
                <w:szCs w:val="12"/>
              </w:rPr>
              <w:t xml:space="preserve">Buena protección</w:t>
            </w:r>
          </w:p>
        </w:tc>
      </w:tr>
      <w:tr>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Alfa generado</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+3,67</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+4,10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+4,16</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-0,44</w:t>
            </w:r>
          </w:p>
        </w:tc>
        <w:tc>
          <w:tcPr>
            <w:tcBorders>
              <w:top w:val="single" w:color="BBBBBB" w:sz="4"/>
              <w:left w:val="single" w:color="BBBBBB" w:sz="4"/>
              <w:bottom w:val="single" w:color="BBBBBB" w:sz="4"/>
              <w:right w:val="single" w:color="BBBBBB" w:sz="4"/>
            </w:tcBorders>
            <w:shd w:fill="D1FAE5"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1A7A4A"/>
                <w:sz w:val="14"/>
                <w:szCs w:val="14"/>
              </w:rPr>
              <w:t xml:space="preserve">~+3,0</w:t>
            </w:r>
          </w:p>
        </w:tc>
        <w:tc>
          <w:tcPr>
            <w:tcBorders>
              <w:top w:val="single" w:color="BBBBBB" w:sz="4"/>
              <w:left w:val="single" w:color="BBBBBB" w:sz="4"/>
              <w:bottom w:val="single" w:color="BBBBBB" w:sz="4"/>
              <w:right w:val="single" w:color="BBBBBB" w:sz="4"/>
            </w:tcBorders>
            <w:shd w:fill="FFFFFF"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iCs/>
                <w:color w:val="000000"/>
                <w:sz w:val="12"/>
                <w:szCs w:val="12"/>
              </w:rPr>
              <w:t xml:space="preserve">Excelente (ex Baelo)</w:t>
            </w:r>
          </w:p>
        </w:tc>
      </w:tr>
      <w:tr>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bCs/>
                <w:i w:val="false"/>
                <w:iCs w:val="false"/>
                <w:color w:val="000000"/>
                <w:sz w:val="13"/>
                <w:szCs w:val="13"/>
              </w:rPr>
              <w:t xml:space="preserve">Exposición oro</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22%</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~4%</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center"/>
            </w:pPr>
            <w:r>
              <w:rPr>
                <w:rFonts w:ascii="Arial" w:cs="Arial" w:eastAsia="Arial" w:hAnsi="Arial"/>
                <w:b w:val="false"/>
                <w:bCs w:val="false"/>
                <w:i w:val="false"/>
                <w:iCs w:val="false"/>
                <w:color w:val="000000"/>
                <w:sz w:val="13"/>
                <w:szCs w:val="13"/>
              </w:rPr>
              <w:t xml:space="preserve">0%</w:t>
            </w:r>
          </w:p>
        </w:tc>
        <w:tc>
          <w:tcPr>
            <w:tcBorders>
              <w:top w:val="single" w:color="BBBBBB" w:sz="4"/>
              <w:left w:val="single" w:color="BBBBBB" w:sz="4"/>
              <w:bottom w:val="single" w:color="BBBBBB" w:sz="4"/>
              <w:right w:val="single" w:color="BBBBBB" w:sz="4"/>
            </w:tcBorders>
            <w:shd w:fill="FFF3CD" w:val="clear"/>
            <w:tcMar>
              <w:top w:type="dxa" w:w="50"/>
              <w:left w:type="dxa" w:w="80"/>
              <w:bottom w:type="dxa" w:w="50"/>
              <w:right w:type="dxa" w:w="80"/>
            </w:tcMar>
            <w:vAlign w:val="center"/>
          </w:tcPr>
          <w:p>
            <w:pPr>
              <w:spacing w:before="30" w:after="30"/>
              <w:jc w:val="center"/>
            </w:pPr>
            <w:r>
              <w:rPr>
                <w:rFonts w:ascii="Arial" w:cs="Arial" w:eastAsia="Arial" w:hAnsi="Arial"/>
                <w:b/>
                <w:bCs/>
                <w:i w:val="false"/>
                <w:iCs w:val="false"/>
                <w:color w:val="D97706"/>
                <w:sz w:val="14"/>
                <w:szCs w:val="14"/>
              </w:rPr>
              <w:t xml:space="preserve">~7,8%</w:t>
            </w:r>
          </w:p>
        </w:tc>
        <w:tc>
          <w:tcPr>
            <w:tcBorders>
              <w:top w:val="single" w:color="BBBBBB" w:sz="4"/>
              <w:left w:val="single" w:color="BBBBBB" w:sz="4"/>
              <w:bottom w:val="single" w:color="BBBBBB" w:sz="4"/>
              <w:right w:val="single" w:color="BBBBBB" w:sz="4"/>
            </w:tcBorders>
            <w:shd w:fill="F2F4F7" w:val="clear"/>
            <w:tcMar>
              <w:top w:type="dxa" w:w="50"/>
              <w:left w:type="dxa" w:w="80"/>
              <w:bottom w:type="dxa" w:w="50"/>
              <w:right w:type="dxa" w:w="80"/>
            </w:tcMar>
            <w:vAlign w:val="center"/>
          </w:tcPr>
          <w:p>
            <w:pPr>
              <w:spacing w:before="30" w:after="30"/>
              <w:jc w:val="left"/>
            </w:pPr>
            <w:r>
              <w:rPr>
                <w:rFonts w:ascii="Arial" w:cs="Arial" w:eastAsia="Arial" w:hAnsi="Arial"/>
                <w:b w:val="false"/>
                <w:bCs w:val="false"/>
                <w:i/>
                <w:iCs/>
                <w:color w:val="000000"/>
                <w:sz w:val="12"/>
                <w:szCs w:val="12"/>
              </w:rPr>
              <w:t xml:space="preserve">Diversificación parcial</w:t>
            </w:r>
          </w:p>
        </w:tc>
      </w:tr>
    </w:tbl>
    <w:p>
      <w:pPr>
        <w:spacing w:before="0" w:after="60"/>
      </w:pPr>
      <w:r>
        <w:rPr>
          <w:rFonts w:ascii="Arial" w:cs="Arial" w:eastAsia="Arial" w:hAnsi="Arial"/>
        </w:rPr>
        <w:t xml:space="preserve"/>
      </w:r>
    </w:p>
    <w:p>
      <w:pPr>
        <w:pStyle w:val="Heading2"/>
        <w:spacing w:before="100" w:after="40"/>
      </w:pPr>
      <w:r>
        <w:rPr>
          <w:rFonts w:ascii="Arial" w:cs="Arial" w:eastAsia="Arial" w:hAnsi="Arial"/>
          <w:b/>
          <w:bCs/>
          <w:color w:val="6D28D9"/>
          <w:sz w:val="22"/>
          <w:szCs w:val="22"/>
        </w:rPr>
        <w:t xml:space="preserve">5.6  Ventajas Diferenciales de esta Cartera</w:t>
      </w:r>
    </w:p>
    <w:p>
      <w:pPr>
        <w:spacing w:before="55" w:after="55"/>
        <w:jc w:val="both"/>
      </w:pPr>
      <w:r>
        <w:rPr>
          <w:rFonts w:ascii="Arial" w:cs="Arial" w:eastAsia="Arial" w:hAnsi="Arial"/>
          <w:sz w:val="19"/>
          <w:szCs w:val="19"/>
        </w:rPr>
        <w:t xml:space="preserve">La cartera de 4 fondos presenta ventajas que ninguno de los vehículos ofrece de forma individual. El </w:t>
      </w:r>
      <w:r>
        <w:rPr>
          <w:rFonts w:ascii="Arial" w:cs="Arial" w:eastAsia="Arial" w:hAnsi="Arial"/>
          <w:b/>
          <w:bCs/>
          <w:sz w:val="19"/>
          <w:szCs w:val="19"/>
        </w:rPr>
        <w:t xml:space="preserve">Cobas Renta</w:t>
      </w:r>
      <w:r>
        <w:rPr>
          <w:rFonts w:ascii="Arial" w:cs="Arial" w:eastAsia="Arial" w:hAnsi="Arial"/>
          <w:sz w:val="19"/>
          <w:szCs w:val="19"/>
        </w:rPr>
        <w:t xml:space="preserve"> actúa como el activo más defensivo (positivo en 2022, TER mínimo 0,31%, volatilidad 2,99%) y compensa la mayor comisión del BL-Global 50. El </w:t>
      </w:r>
      <w:r>
        <w:rPr>
          <w:rFonts w:ascii="Arial" w:cs="Arial" w:eastAsia="Arial" w:hAnsi="Arial"/>
          <w:b/>
          <w:bCs/>
          <w:sz w:val="19"/>
          <w:szCs w:val="19"/>
        </w:rPr>
        <w:t xml:space="preserve">BL-Global 50</w:t>
      </w:r>
      <w:r>
        <w:rPr>
          <w:rFonts w:ascii="Arial" w:cs="Arial" w:eastAsia="Arial" w:hAnsi="Arial"/>
          <w:sz w:val="19"/>
          <w:szCs w:val="19"/>
        </w:rPr>
        <w:t xml:space="preserve"> aporta la cobertura de oro más robusta (22%) y el historial más largo (30 años), siendo el descorrelacionador natural frente a crisis inflacionarias y geopolíticas. El </w:t>
      </w:r>
      <w:r>
        <w:rPr>
          <w:rFonts w:ascii="Arial" w:cs="Arial" w:eastAsia="Arial" w:hAnsi="Arial"/>
          <w:b/>
          <w:bCs/>
          <w:sz w:val="19"/>
          <w:szCs w:val="19"/>
        </w:rPr>
        <w:t xml:space="preserve">Renta 4 Delta R</w:t>
      </w:r>
      <w:r>
        <w:rPr>
          <w:rFonts w:ascii="Arial" w:cs="Arial" w:eastAsia="Arial" w:hAnsi="Arial"/>
          <w:sz w:val="19"/>
          <w:szCs w:val="19"/>
        </w:rPr>
        <w:t xml:space="preserve"> es el motor de rentabilidad ajustada al riesgo con su Sharpe excepcional (1,64) y la única calificación Bronze Medalist de Morningstar del universo. El </w:t>
      </w:r>
      <w:r>
        <w:rPr>
          <w:rFonts w:ascii="Arial" w:cs="Arial" w:eastAsia="Arial" w:hAnsi="Arial"/>
          <w:b/>
          <w:bCs/>
          <w:sz w:val="19"/>
          <w:szCs w:val="19"/>
        </w:rPr>
        <w:t xml:space="preserve">Baelo Patrimonio</w:t>
      </w:r>
      <w:r>
        <w:rPr>
          <w:rFonts w:ascii="Arial" w:cs="Arial" w:eastAsia="Arial" w:hAnsi="Arial"/>
          <w:sz w:val="19"/>
          <w:szCs w:val="19"/>
        </w:rPr>
        <w:t xml:space="preserve"> añade un sesgo de calidad corporativa (aristócratas del dividendo), mayor exposición a USA (~33%) y el TER más complementario (0,39%), equilibrando el coste medio de la cartera.</w:t>
      </w:r>
    </w:p>
    <w:p>
      <w:pPr>
        <w:spacing w:before="55" w:after="55"/>
        <w:jc w:val="both"/>
      </w:pPr>
      <w:r>
        <w:rPr>
          <w:rFonts w:ascii="Arial" w:cs="Arial" w:eastAsia="Arial" w:hAnsi="Arial"/>
          <w:sz w:val="19"/>
          <w:szCs w:val="19"/>
        </w:rPr>
        <w:t xml:space="preserve">La beta ponderada estimada de ~0,50 indica que la cartera debería moverse aproximadamente al 50% de la velocidad del mercado, tanto al alza como a la baja. El TER ponderado de ~0,94% es competitivo para el nivel de sofisticación. La rentabilidad esperada neta se estima en el rango del </w:t>
      </w:r>
      <w:r>
        <w:rPr>
          <w:rFonts w:ascii="Arial" w:cs="Arial" w:eastAsia="Arial" w:hAnsi="Arial"/>
          <w:b/>
          <w:bCs/>
          <w:sz w:val="19"/>
          <w:szCs w:val="19"/>
        </w:rPr>
        <w:t xml:space="preserve">6,5% – 9,5% anual a largo plazo</w:t>
      </w:r>
      <w:r>
        <w:rPr>
          <w:rFonts w:ascii="Arial" w:cs="Arial" w:eastAsia="Arial" w:hAnsi="Arial"/>
          <w:sz w:val="19"/>
          <w:szCs w:val="19"/>
        </w:rPr>
        <w:t xml:space="preserve">, con una volatilidad esperada de 4,5-5,5% y un Sharpe estimado superior a 1,2.</w:t>
      </w:r>
    </w:p>
    <w:p>
      <w:pPr>
        <w:pStyle w:val="Heading2"/>
        <w:spacing w:before="100" w:after="40"/>
      </w:pPr>
      <w:r>
        <w:rPr>
          <w:rFonts w:ascii="Arial" w:cs="Arial" w:eastAsia="Arial" w:hAnsi="Arial"/>
          <w:b/>
          <w:bCs/>
          <w:color w:val="6D28D9"/>
          <w:sz w:val="22"/>
          <w:szCs w:val="22"/>
        </w:rPr>
        <w:t xml:space="preserve">5.7  Puntos de Atención y Seguimiento Recomendado</w:t>
      </w:r>
    </w:p>
    <w:p>
      <w:pPr>
        <w:spacing w:before="55" w:after="55"/>
        <w:jc w:val="both"/>
      </w:pPr>
      <w:r>
        <w:rPr>
          <w:rFonts w:ascii="Arial" w:cs="Arial" w:eastAsia="Arial" w:hAnsi="Arial"/>
          <w:sz w:val="19"/>
          <w:szCs w:val="19"/>
        </w:rPr>
        <w:t xml:space="preserve">Pese a las ventajas señaladas, esta cartera tiene factores que requieren seguimiento activo: (1) </w:t>
      </w:r>
      <w:r>
        <w:rPr>
          <w:rFonts w:ascii="Arial" w:cs="Arial" w:eastAsia="Arial" w:hAnsi="Arial"/>
          <w:b/>
          <w:bCs/>
          <w:sz w:val="19"/>
          <w:szCs w:val="19"/>
        </w:rPr>
        <w:t xml:space="preserve">Riesgo de patrimonio reducido</w:t>
      </w:r>
      <w:r>
        <w:rPr>
          <w:rFonts w:ascii="Arial" w:cs="Arial" w:eastAsia="Arial" w:hAnsi="Arial"/>
          <w:sz w:val="19"/>
          <w:szCs w:val="19"/>
        </w:rPr>
        <w:t xml:space="preserve">: tanto Renta 4 Delta R (9,2M€) como Cobas Renta (100M€ con pocos partícipes) son vehículos de tamaño moderado-pequeño. Si el patrimonio cae significativamente, los costes fijos del fondo pueden erosionar la rentabilidad. (2) </w:t>
      </w:r>
      <w:r>
        <w:rPr>
          <w:rFonts w:ascii="Arial" w:cs="Arial" w:eastAsia="Arial" w:hAnsi="Arial"/>
          <w:b/>
          <w:bCs/>
          <w:sz w:val="19"/>
          <w:szCs w:val="19"/>
        </w:rPr>
        <w:t xml:space="preserve">Riesgo de gestor clave</w:t>
      </w:r>
      <w:r>
        <w:rPr>
          <w:rFonts w:ascii="Arial" w:cs="Arial" w:eastAsia="Arial" w:hAnsi="Arial"/>
          <w:sz w:val="19"/>
          <w:szCs w:val="19"/>
        </w:rPr>
        <w:t xml:space="preserve">: Cobas depende de F.G. Paramés; Baelo depende de A. Rico. La salida de estos gestores activaría un derecho de separación y cambio de política de inversión. (3) </w:t>
      </w:r>
      <w:r>
        <w:rPr>
          <w:rFonts w:ascii="Arial" w:cs="Arial" w:eastAsia="Arial" w:hAnsi="Arial"/>
          <w:b/>
          <w:bCs/>
          <w:sz w:val="19"/>
          <w:szCs w:val="19"/>
        </w:rPr>
        <w:t xml:space="preserve">El BL-Global 50 en euros</w:t>
      </w:r>
      <w:r>
        <w:rPr>
          <w:rFonts w:ascii="Arial" w:cs="Arial" w:eastAsia="Arial" w:hAnsi="Arial"/>
          <w:sz w:val="19"/>
          <w:szCs w:val="19"/>
        </w:rPr>
        <w:t xml:space="preserve">: la jurisdicción luxemburguesa añade complejidad fiscal (sin traspaso fiscal automático si hay distribución de dividendos). Para inversores españoles, se recomienda seleccionar la clase de acumulación. (4) </w:t>
      </w:r>
      <w:r>
        <w:rPr>
          <w:rFonts w:ascii="Arial" w:cs="Arial" w:eastAsia="Arial" w:hAnsi="Arial"/>
          <w:b/>
          <w:bCs/>
          <w:sz w:val="19"/>
          <w:szCs w:val="19"/>
        </w:rPr>
        <w:t xml:space="preserve">Rebalanceo anual recomendado</w:t>
      </w:r>
      <w:r>
        <w:rPr>
          <w:rFonts w:ascii="Arial" w:cs="Arial" w:eastAsia="Arial" w:hAnsi="Arial"/>
          <w:sz w:val="19"/>
          <w:szCs w:val="19"/>
        </w:rPr>
        <w:t xml:space="preserve">: dada la diferente volatilidad de los componentes, se recomienda rebalancear la cartera una vez al año (o cuando algún componente se aleje más de 5 puntos porcentuales de su peso objetivo) para mantener el perfil de riesgo deseado.</w:t>
      </w:r>
    </w:p>
    <w:p>
      <w:pPr>
        <w:pBdr>
          <w:top w:val="single" w:color="6D28D9" w:sz="4" w:space="1"/>
        </w:pBdr>
        <w:spacing w:before="120" w:after="60"/>
      </w:pPr>
      <w:r>
        <w:rPr>
          <w:rFonts w:ascii="Arial" w:cs="Arial" w:eastAsia="Arial" w:hAnsi="Arial"/>
          <w:i/>
          <w:iCs/>
          <w:color w:val="6B7280"/>
          <w:sz w:val="16"/>
          <w:szCs w:val="16"/>
        </w:rPr>
        <w:t xml:space="preserve">Cartera analizada con fines exclusivamente informativos. Todos los datos son estimaciones basadas en historial pasado y características estructurales actuales. No constituye asesoramiento financiero ni garantiza ningún resultado futuro. Consulte siempre con un asesor financiero certificado antes de tomar decisiones de inversión.</w:t>
      </w:r>
    </w:p>
    <w:sectPr>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A4A4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180" w:after="100"/>
      <w:outlineLvl w:val="0"/>
    </w:pPr>
    <w:rPr>
      <w:rFonts w:ascii="Arial" w:cs="Arial" w:eastAsia="Arial" w:hAnsi="Arial"/>
      <w:b/>
      <w:bCs/>
      <w:color w:val="1B3A6B"/>
      <w:sz w:val="32"/>
      <w:szCs w:val="32"/>
    </w:rPr>
  </w:style>
  <w:style w:type="paragraph" w:styleId="Heading2">
    <w:name w:val="Heading 2"/>
    <w:basedOn w:val="Normal"/>
    <w:next w:val="Normal"/>
    <w:qFormat/>
    <w:pPr>
      <w:spacing w:before="120" w:after="60"/>
      <w:outlineLvl w:val="1"/>
    </w:pPr>
    <w:rPr>
      <w:rFonts w:ascii="Arial" w:cs="Arial" w:eastAsia="Arial" w:hAnsi="Arial"/>
      <w:b/>
      <w:bCs/>
      <w:color w:val="2E5FA3"/>
      <w:sz w:val="24"/>
      <w:szCs w:val="24"/>
    </w:rPr>
  </w:style>
  <w:style w:type="paragraph" w:styleId="Heading3">
    <w:name w:val="Heading 3"/>
    <w:basedOn w:val="Normal"/>
    <w:next w:val="Normal"/>
    <w:qFormat/>
    <w:pPr>
      <w:spacing w:before="80" w:after="40"/>
      <w:outlineLvl w:val="2"/>
    </w:pPr>
    <w:rPr>
      <w:rFonts w:ascii="Arial" w:cs="Arial" w:eastAsia="Arial" w:hAnsi="Arial"/>
      <w:b/>
      <w:bCs/>
      <w:color w:val="0E7490"/>
      <w:sz w:val="20"/>
      <w:szCs w:val="20"/>
    </w:rPr>
  </w:style>
  <w:style w:type="paragraph" w:styleId="Heading4">
    <w:name w:val="Heading 4"/>
    <w:basedOn w:val="Normal"/>
    <w:next w:val="Normal"/>
    <w:qFormat/>
    <w:pPr>
      <w:spacing w:before="60" w:after="30"/>
      <w:outlineLvl w:val="3"/>
    </w:pPr>
    <w:rPr>
      <w:rFonts w:ascii="Arial" w:cs="Arial" w:eastAsia="Arial" w:hAnsi="Arial"/>
      <w:b/>
      <w:bCs/>
      <w:color w:val="6D28D9"/>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2026-03-01T19:03:44.153Z</dcterms:created>
  <dcterms:modified xsi:type="dcterms:W3CDTF">2026-03-01T19:03:44.156Z</dcterms:modified>
</cp:coreProperties>
</file>

<file path=docProps/custom.xml><?xml version="1.0" encoding="utf-8"?>
<Properties xmlns="http://schemas.openxmlformats.org/officeDocument/2006/custom-properties" xmlns:vt="http://schemas.openxmlformats.org/officeDocument/2006/docPropsVTypes"/>
</file>